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ECC6F" w14:textId="77777777" w:rsidR="00FE6FB5" w:rsidRDefault="00815AC2">
      <w:pPr>
        <w:pStyle w:val="HeadingEULA"/>
        <w:widowControl w:val="0"/>
        <w:rPr>
          <w:sz w:val="20"/>
          <w:szCs w:val="20"/>
        </w:rPr>
      </w:pPr>
      <w:bookmarkStart w:id="0" w:name="_GoBack"/>
      <w:bookmarkEnd w:id="0"/>
      <w:r>
        <w:rPr>
          <w:sz w:val="20"/>
          <w:szCs w:val="20"/>
        </w:rPr>
        <w:t>MICROSOFT-SOFTWARE: LIZENZBESTIMMUNGEN</w:t>
      </w:r>
    </w:p>
    <w:p w14:paraId="287ECC70" w14:textId="77777777" w:rsidR="00FE6FB5" w:rsidRDefault="00815AC2">
      <w:pPr>
        <w:pStyle w:val="HeadingSoftwareTitle"/>
        <w:widowControl w:val="0"/>
        <w:rPr>
          <w:sz w:val="20"/>
          <w:szCs w:val="20"/>
        </w:rPr>
      </w:pPr>
      <w:r>
        <w:rPr>
          <w:rFonts w:eastAsia="SimSun"/>
          <w:sz w:val="20"/>
          <w:szCs w:val="20"/>
        </w:rPr>
        <w:t xml:space="preserve">MICROSOFT AGE OF EMPIRES II </w:t>
      </w:r>
    </w:p>
    <w:p w14:paraId="287ECC71" w14:textId="77777777" w:rsidR="00FE6FB5" w:rsidRDefault="00815AC2">
      <w:pPr>
        <w:widowControl w:val="0"/>
        <w:rPr>
          <w:lang w:val="de-DE"/>
        </w:rPr>
      </w:pPr>
      <w:r>
        <w:rPr>
          <w:lang w:val="de-DE"/>
        </w:rPr>
        <w:t>Diese Lizenzbestimmungen sind ein Vertrag zwischen Ihnen und der Microsoft Corporation (oder einer anderen Microsoft-Konzerngesellschaft, wenn diese an dem Ort, an dem Sie die Software erwerben, die Software lizenziert). Bitte lesen Sie die Lizenzbestimmun</w:t>
      </w:r>
      <w:r>
        <w:rPr>
          <w:lang w:val="de-DE"/>
        </w:rPr>
        <w:t>gen aufmerksam durch. Sie gelten für die oben genannte Software und gegebenenfalls für die Medien, auf denen Sie diese erhalten haben, sowie für alle von Microsoft diesbezüglich angebotenen</w:t>
      </w:r>
    </w:p>
    <w:p w14:paraId="287ECC72" w14:textId="77777777" w:rsidR="00FE6FB5" w:rsidRDefault="00815AC2">
      <w:pPr>
        <w:pStyle w:val="Bullet2"/>
        <w:widowControl w:val="0"/>
        <w:tabs>
          <w:tab w:val="clear" w:pos="720"/>
          <w:tab w:val="num" w:pos="360"/>
        </w:tabs>
        <w:ind w:left="360"/>
        <w:rPr>
          <w:lang w:val="de-DE"/>
        </w:rPr>
      </w:pPr>
      <w:r>
        <w:rPr>
          <w:lang w:val="de-DE"/>
        </w:rPr>
        <w:t>Updates</w:t>
      </w:r>
    </w:p>
    <w:p w14:paraId="287ECC73" w14:textId="77777777" w:rsidR="00FE6FB5" w:rsidRDefault="00815AC2">
      <w:pPr>
        <w:pStyle w:val="Bullet2"/>
        <w:widowControl w:val="0"/>
        <w:tabs>
          <w:tab w:val="clear" w:pos="720"/>
          <w:tab w:val="num" w:pos="360"/>
        </w:tabs>
        <w:ind w:left="360"/>
        <w:rPr>
          <w:lang w:val="de-DE"/>
        </w:rPr>
      </w:pPr>
      <w:r>
        <w:rPr>
          <w:lang w:val="de-DE"/>
        </w:rPr>
        <w:t>Ergänzungen</w:t>
      </w:r>
    </w:p>
    <w:p w14:paraId="287ECC74" w14:textId="77777777" w:rsidR="00FE6FB5" w:rsidRDefault="00815AC2">
      <w:pPr>
        <w:pStyle w:val="Bullet2"/>
        <w:widowControl w:val="0"/>
        <w:tabs>
          <w:tab w:val="clear" w:pos="720"/>
          <w:tab w:val="num" w:pos="360"/>
        </w:tabs>
        <w:ind w:left="360"/>
        <w:rPr>
          <w:lang w:val="de-DE"/>
        </w:rPr>
      </w:pPr>
      <w:r>
        <w:rPr>
          <w:lang w:val="de-DE"/>
        </w:rPr>
        <w:t>Internetbasierten Dienste</w:t>
      </w:r>
    </w:p>
    <w:p w14:paraId="287ECC75" w14:textId="77777777" w:rsidR="00FE6FB5" w:rsidRDefault="00815AC2">
      <w:pPr>
        <w:pStyle w:val="Bullet2"/>
        <w:widowControl w:val="0"/>
        <w:tabs>
          <w:tab w:val="clear" w:pos="720"/>
          <w:tab w:val="num" w:pos="360"/>
        </w:tabs>
        <w:ind w:left="360"/>
        <w:rPr>
          <w:lang w:val="de-DE"/>
        </w:rPr>
      </w:pPr>
      <w:r>
        <w:rPr>
          <w:lang w:val="de-DE"/>
        </w:rPr>
        <w:t>Supportleistungen</w:t>
      </w:r>
    </w:p>
    <w:p w14:paraId="287ECC76" w14:textId="77777777" w:rsidR="00FE6FB5" w:rsidRDefault="00815AC2">
      <w:pPr>
        <w:widowControl w:val="0"/>
        <w:rPr>
          <w:lang w:val="de-DE"/>
        </w:rPr>
      </w:pPr>
      <w:r>
        <w:rPr>
          <w:lang w:val="de-DE"/>
        </w:rPr>
        <w:t>Li</w:t>
      </w:r>
      <w:r>
        <w:rPr>
          <w:lang w:val="de-DE"/>
        </w:rPr>
        <w:t xml:space="preserve">egen letztgenannten Elementen eigene Bestimmungen bei, gelten diese eigenen Bestimmungen. </w:t>
      </w:r>
    </w:p>
    <w:p w14:paraId="287ECC77" w14:textId="77777777" w:rsidR="00FE6FB5" w:rsidRDefault="00815AC2">
      <w:pPr>
        <w:pStyle w:val="Preamble"/>
        <w:widowControl w:val="0"/>
        <w:rPr>
          <w:b w:val="0"/>
          <w:bCs w:val="0"/>
          <w:lang w:val="de-DE"/>
        </w:rPr>
      </w:pPr>
      <w:r>
        <w:rPr>
          <w:lang w:val="de-DE"/>
        </w:rPr>
        <w:t>Durch die Verwendung der Software erkennen Sie diese Bestimmungen an. Falls Sie die Bestimmungen nicht akzeptieren, sind Sie nicht berechtigt, die Software zu verwen</w:t>
      </w:r>
      <w:r>
        <w:rPr>
          <w:lang w:val="de-DE"/>
        </w:rPr>
        <w:t>den. Geben Sie diese stattdessen dem Einzelhändler gegen Rückerstattung oder Gutschrift des Kaufpreises zurück.</w:t>
      </w:r>
      <w:r>
        <w:rPr>
          <w:b w:val="0"/>
          <w:bCs w:val="0"/>
          <w:lang w:val="de-DE"/>
        </w:rPr>
        <w:t xml:space="preserve"> Wenn Sie dort keine Rückerstattung des Kaufpreises erhalten können, wenden Sie sich an Microsoft oder an das verbundene Unternehmen von Microsof</w:t>
      </w:r>
      <w:r>
        <w:rPr>
          <w:b w:val="0"/>
          <w:bCs w:val="0"/>
          <w:lang w:val="de-DE"/>
        </w:rPr>
        <w:t xml:space="preserve">t in Ihrem Land, siehe unter </w:t>
      </w:r>
      <w:r>
        <w:rPr>
          <w:rStyle w:val="Hyperlink"/>
          <w:rFonts w:cs="Tahoma"/>
          <w:b w:val="0"/>
          <w:bCs w:val="0"/>
          <w:color w:val="auto"/>
          <w:u w:val="none"/>
          <w:lang w:val="de-DE"/>
        </w:rPr>
        <w:t>www.microsoft.com/worldwide</w:t>
      </w:r>
      <w:r>
        <w:rPr>
          <w:b w:val="0"/>
          <w:bCs w:val="0"/>
          <w:lang w:val="de-DE"/>
        </w:rPr>
        <w:t xml:space="preserve"> oder für Deutschland unter </w:t>
      </w:r>
      <w:r>
        <w:rPr>
          <w:rStyle w:val="Hyperlink"/>
          <w:rFonts w:cs="Tahoma"/>
          <w:b w:val="0"/>
          <w:bCs w:val="0"/>
          <w:color w:val="auto"/>
          <w:u w:val="none"/>
          <w:lang w:val="de-DE"/>
        </w:rPr>
        <w:t>www.microsoft.com/germany</w:t>
      </w:r>
      <w:r>
        <w:rPr>
          <w:b w:val="0"/>
          <w:bCs w:val="0"/>
          <w:lang w:val="de-DE"/>
        </w:rPr>
        <w:t>.</w:t>
      </w:r>
    </w:p>
    <w:p w14:paraId="287ECC78" w14:textId="77777777" w:rsidR="00FE6FB5" w:rsidRDefault="00815AC2">
      <w:pPr>
        <w:pStyle w:val="PreambleBorderAbove"/>
        <w:widowControl w:val="0"/>
        <w:rPr>
          <w:lang w:val="de-DE"/>
        </w:rPr>
      </w:pPr>
      <w:r>
        <w:rPr>
          <w:lang w:val="de-DE"/>
        </w:rPr>
        <w:t>Wenn Sie diese Lizenzbestimmungen einhalten, verfügen Sie über die folgenden zeitlich unbeschränkten Rechte.</w:t>
      </w:r>
    </w:p>
    <w:p w14:paraId="287ECC79" w14:textId="77777777" w:rsidR="00FE6FB5" w:rsidRDefault="00815AC2">
      <w:pPr>
        <w:pStyle w:val="Heading1"/>
        <w:widowControl w:val="0"/>
        <w:rPr>
          <w:b w:val="0"/>
          <w:bCs w:val="0"/>
          <w:lang w:val="de-DE"/>
        </w:rPr>
      </w:pPr>
      <w:r>
        <w:rPr>
          <w:lang w:val="de-DE"/>
        </w:rPr>
        <w:t xml:space="preserve">ÜBERBLICK. </w:t>
      </w:r>
      <w:r>
        <w:rPr>
          <w:b w:val="0"/>
          <w:bCs w:val="0"/>
          <w:lang w:val="de-DE"/>
        </w:rPr>
        <w:t>Die Software wird auf der</w:t>
      </w:r>
      <w:r>
        <w:rPr>
          <w:b w:val="0"/>
          <w:bCs w:val="0"/>
          <w:lang w:val="de-DE"/>
        </w:rPr>
        <w:t xml:space="preserve"> Basis pro Kopie pro Gerät lizenziert. Eine Hardwarepartition oder ein Blade wird als separates Gerät betrachtet.</w:t>
      </w:r>
    </w:p>
    <w:p w14:paraId="287ECC7A" w14:textId="77777777" w:rsidR="00FE6FB5" w:rsidRDefault="00815AC2">
      <w:pPr>
        <w:pStyle w:val="Heading1"/>
        <w:widowControl w:val="0"/>
        <w:rPr>
          <w:lang w:val="de-DE"/>
        </w:rPr>
      </w:pPr>
      <w:r>
        <w:rPr>
          <w:lang w:val="de-DE"/>
        </w:rPr>
        <w:t>RECHTE ZUR INSTALLATION UND NUTZUNG.</w:t>
      </w:r>
    </w:p>
    <w:p w14:paraId="287ECC7B" w14:textId="77777777" w:rsidR="00FE6FB5" w:rsidRDefault="00815AC2">
      <w:pPr>
        <w:pStyle w:val="Heading2"/>
        <w:widowControl w:val="0"/>
        <w:rPr>
          <w:b w:val="0"/>
          <w:bCs w:val="0"/>
          <w:lang w:val="de-DE"/>
        </w:rPr>
      </w:pPr>
      <w:r>
        <w:rPr>
          <w:rFonts w:eastAsia="SimSun"/>
          <w:lang w:val="de-DE"/>
        </w:rPr>
        <w:t>Eine Kopie pro Gerät.</w:t>
      </w:r>
      <w:r>
        <w:rPr>
          <w:b w:val="0"/>
          <w:lang w:val="de-DE"/>
        </w:rPr>
        <w:t xml:space="preserve"> Sie sind berechtigt, eine Kopie der Software auf einem Gerät zu installieren. Diese</w:t>
      </w:r>
      <w:r>
        <w:rPr>
          <w:b w:val="0"/>
          <w:lang w:val="de-DE"/>
        </w:rPr>
        <w:t>s Gerät ist das „lizenzierte Gerät“.</w:t>
      </w:r>
    </w:p>
    <w:p w14:paraId="287ECC7C" w14:textId="77777777" w:rsidR="00FE6FB5" w:rsidRDefault="00815AC2">
      <w:pPr>
        <w:pStyle w:val="Heading2"/>
        <w:widowControl w:val="0"/>
        <w:rPr>
          <w:b w:val="0"/>
          <w:bCs w:val="0"/>
          <w:lang w:val="de-DE"/>
        </w:rPr>
      </w:pPr>
      <w:r>
        <w:rPr>
          <w:rFonts w:eastAsia="SimSun"/>
          <w:lang w:val="de-DE"/>
        </w:rPr>
        <w:t>Lizenziertes Gerät.</w:t>
      </w:r>
      <w:r>
        <w:rPr>
          <w:b w:val="0"/>
          <w:lang w:val="de-DE"/>
        </w:rPr>
        <w:t xml:space="preserve"> Sie sind berechtigt, jeweils eine Kopie der Software auf dem lizenzierten Gerät zu nutzen</w:t>
      </w:r>
      <w:r>
        <w:rPr>
          <w:b w:val="0"/>
          <w:bCs w:val="0"/>
          <w:lang w:val="de-DE"/>
        </w:rPr>
        <w:t>.</w:t>
      </w:r>
    </w:p>
    <w:p w14:paraId="287ECC7D" w14:textId="77777777" w:rsidR="00FE6FB5" w:rsidRDefault="00815AC2">
      <w:pPr>
        <w:pStyle w:val="Heading2"/>
        <w:widowControl w:val="0"/>
        <w:rPr>
          <w:b w:val="0"/>
          <w:bCs w:val="0"/>
          <w:lang w:val="de-DE"/>
        </w:rPr>
      </w:pPr>
      <w:r>
        <w:rPr>
          <w:lang w:val="de-DE"/>
        </w:rPr>
        <w:t>Tragbares Gerät.</w:t>
      </w:r>
      <w:r>
        <w:rPr>
          <w:b w:val="0"/>
          <w:bCs w:val="0"/>
          <w:lang w:val="de-DE"/>
        </w:rPr>
        <w:t xml:space="preserve"> Sie sind berechtigt, eine weitere Kopie auf einem tragbaren Gerät zur Verwendung durch die </w:t>
      </w:r>
      <w:r>
        <w:rPr>
          <w:b w:val="0"/>
          <w:bCs w:val="0"/>
          <w:lang w:val="de-DE"/>
        </w:rPr>
        <w:t>einzige Hauptnutzerin oder den einzigen Hauptnutzer des lizenzierten Geräts zu installieren.</w:t>
      </w:r>
    </w:p>
    <w:p w14:paraId="287ECC7E" w14:textId="77777777" w:rsidR="00FE6FB5" w:rsidRDefault="00815AC2">
      <w:pPr>
        <w:pStyle w:val="Heading2"/>
        <w:widowControl w:val="0"/>
        <w:rPr>
          <w:b w:val="0"/>
          <w:bCs w:val="0"/>
          <w:lang w:val="de-DE"/>
        </w:rPr>
      </w:pPr>
      <w:r>
        <w:rPr>
          <w:lang w:val="de-DE"/>
        </w:rPr>
        <w:t>Netzwerkgerät.</w:t>
      </w:r>
      <w:r>
        <w:rPr>
          <w:b w:val="0"/>
          <w:bCs w:val="0"/>
          <w:lang w:val="de-DE"/>
        </w:rPr>
        <w:t xml:space="preserve"> Sie sind außerdem berechtigt, eine Kopie auf einem Netzwerkgerät zu installieren. Sie dürfen diese Kopie nur wie im Abschnitt „Remotezugriff“ weiter</w:t>
      </w:r>
      <w:r>
        <w:rPr>
          <w:b w:val="0"/>
          <w:bCs w:val="0"/>
          <w:lang w:val="de-DE"/>
        </w:rPr>
        <w:t xml:space="preserve"> unten beschrieben verwenden.</w:t>
      </w:r>
    </w:p>
    <w:p w14:paraId="287ECC7F" w14:textId="77777777" w:rsidR="00FE6FB5" w:rsidRDefault="00815AC2">
      <w:pPr>
        <w:pStyle w:val="Heading1"/>
        <w:widowControl w:val="0"/>
        <w:rPr>
          <w:lang w:val="de-DE"/>
        </w:rPr>
      </w:pPr>
      <w:r>
        <w:rPr>
          <w:lang w:val="de-DE"/>
        </w:rPr>
        <w:t>ZUSÄTZLICHE LIZENZANFORDERUNGEN UND/ODER NUTZUNGSRECHTE.</w:t>
      </w:r>
    </w:p>
    <w:p w14:paraId="287ECC80" w14:textId="77777777" w:rsidR="00FE6FB5" w:rsidRDefault="00815AC2">
      <w:pPr>
        <w:pStyle w:val="Heading2"/>
        <w:widowControl w:val="0"/>
        <w:rPr>
          <w:b w:val="0"/>
          <w:bCs w:val="0"/>
          <w:lang w:val="de-DE"/>
        </w:rPr>
      </w:pPr>
      <w:r>
        <w:rPr>
          <w:lang w:val="de-DE"/>
        </w:rPr>
        <w:t>Remotezugriff.</w:t>
      </w:r>
      <w:r>
        <w:rPr>
          <w:b w:val="0"/>
          <w:bCs w:val="0"/>
          <w:lang w:val="de-DE"/>
        </w:rPr>
        <w:t xml:space="preserve"> Sie sind wie folgt berechtigt, auf die Software von einem anderen Gerät aus zuzugreifen und sie von einem anderen Gerät aus zu nutzen.</w:t>
      </w:r>
    </w:p>
    <w:p w14:paraId="287ECC81" w14:textId="77777777" w:rsidR="00FE6FB5" w:rsidRDefault="00815AC2">
      <w:pPr>
        <w:pStyle w:val="Bullet3Underlined"/>
        <w:widowControl w:val="0"/>
        <w:rPr>
          <w:u w:val="none"/>
          <w:lang w:val="de-DE"/>
        </w:rPr>
      </w:pPr>
      <w:r>
        <w:rPr>
          <w:lang w:val="de-DE"/>
        </w:rPr>
        <w:t xml:space="preserve">Hauptnutzerin oder </w:t>
      </w:r>
      <w:r>
        <w:rPr>
          <w:lang w:val="de-DE"/>
        </w:rPr>
        <w:t>Hauptnutzer</w:t>
      </w:r>
      <w:r>
        <w:rPr>
          <w:u w:val="none"/>
          <w:lang w:val="de-DE"/>
        </w:rPr>
        <w:t xml:space="preserve">. Die einzige Hauptnutzerin oder der einzige Hauptnutzer des Geräts, das die Remote-Desktop-Sitzung hostet, ist berechtigt, von einem beliebigen anderen Gerät aus auf die Software zuzugreifen und sie von diesem Gerät aus zu verwenden. Außer zur </w:t>
      </w:r>
      <w:r>
        <w:rPr>
          <w:u w:val="none"/>
          <w:lang w:val="de-DE"/>
        </w:rPr>
        <w:t>Bereitstellung von Supportleistungen ist keine andere Person berechtigt, die Software zur gleichen Zeit unter der gleichen Lizenz zu verwenden.</w:t>
      </w:r>
    </w:p>
    <w:p w14:paraId="287ECC82" w14:textId="77777777" w:rsidR="00FE6FB5" w:rsidRDefault="00815AC2">
      <w:pPr>
        <w:pStyle w:val="Bullet3Underlined"/>
        <w:widowControl w:val="0"/>
        <w:rPr>
          <w:u w:val="none"/>
          <w:lang w:val="de-DE"/>
        </w:rPr>
      </w:pPr>
      <w:r>
        <w:rPr>
          <w:lang w:val="de-DE"/>
        </w:rPr>
        <w:t>Nicht-Hauptnutzer</w:t>
      </w:r>
      <w:r>
        <w:rPr>
          <w:u w:val="none"/>
          <w:lang w:val="de-DE"/>
        </w:rPr>
        <w:t>. Jeder Nutzer ist berechtigt, auf die Software von einem gesondert lizenzierten Gerät aus zuzu</w:t>
      </w:r>
      <w:r>
        <w:rPr>
          <w:u w:val="none"/>
          <w:lang w:val="de-DE"/>
        </w:rPr>
        <w:t>greifen und sie von diesem Gerät aus zu nutzen.</w:t>
      </w:r>
    </w:p>
    <w:p w14:paraId="287ECC83" w14:textId="77777777" w:rsidR="00FE6FB5" w:rsidRDefault="00815AC2">
      <w:pPr>
        <w:pStyle w:val="Bullet3Underlined"/>
        <w:widowControl w:val="0"/>
        <w:rPr>
          <w:u w:val="none"/>
          <w:lang w:val="de-DE"/>
        </w:rPr>
      </w:pPr>
      <w:r>
        <w:rPr>
          <w:lang w:val="de-DE"/>
        </w:rPr>
        <w:t>Remote Assistance</w:t>
      </w:r>
      <w:r>
        <w:rPr>
          <w:u w:val="none"/>
          <w:lang w:val="de-DE"/>
        </w:rPr>
        <w:t>. Sie sind berechtigt, anderen Geräten den Zugriff auf die Software zu erlauben, um Ihnen Supportleistungen bereitzustellen. Sie benötigen keine zusätzlichen Lizenzen für diesen Zugriff.</w:t>
      </w:r>
    </w:p>
    <w:p w14:paraId="287ECC84" w14:textId="77777777" w:rsidR="00FE6FB5" w:rsidRDefault="00815AC2">
      <w:pPr>
        <w:pStyle w:val="Heading2"/>
        <w:widowControl w:val="0"/>
        <w:rPr>
          <w:b w:val="0"/>
          <w:bCs w:val="0"/>
          <w:lang w:val="de-DE"/>
        </w:rPr>
      </w:pPr>
      <w:bookmarkStart w:id="1" w:name="_Hlt103677376"/>
      <w:bookmarkStart w:id="2" w:name="_Hlt103677377"/>
      <w:r>
        <w:rPr>
          <w:lang w:val="de-DE"/>
        </w:rPr>
        <w:t>Schr</w:t>
      </w:r>
      <w:r>
        <w:rPr>
          <w:lang w:val="de-DE"/>
        </w:rPr>
        <w:t xml:space="preserve">iftartkomponenten. </w:t>
      </w:r>
      <w:r>
        <w:rPr>
          <w:b w:val="0"/>
          <w:bCs w:val="0"/>
          <w:lang w:val="de-DE"/>
        </w:rPr>
        <w:t>Während die Software ausgeführt wird, sind Sie berechtigt, ihre Schriftarten zum Anzeigen und Drucken von Inhalt zu verwenden. Sie sind nur zu Folgendem berechtigt:</w:t>
      </w:r>
    </w:p>
    <w:p w14:paraId="287ECC85" w14:textId="77777777" w:rsidR="00FE6FB5" w:rsidRDefault="00815AC2">
      <w:pPr>
        <w:widowControl w:val="0"/>
        <w:numPr>
          <w:ilvl w:val="0"/>
          <w:numId w:val="3"/>
        </w:numPr>
        <w:rPr>
          <w:lang w:val="de-DE"/>
        </w:rPr>
      </w:pPr>
      <w:r>
        <w:rPr>
          <w:lang w:val="de-DE"/>
        </w:rPr>
        <w:t>Einbetten von Schriftarten in Inhalt, wie dies von den Einbettungseinsch</w:t>
      </w:r>
      <w:r>
        <w:rPr>
          <w:lang w:val="de-DE"/>
        </w:rPr>
        <w:t>ränkungen in den Schriftarten erlaubt wird</w:t>
      </w:r>
    </w:p>
    <w:p w14:paraId="287ECC86" w14:textId="77777777" w:rsidR="00FE6FB5" w:rsidRDefault="00815AC2">
      <w:pPr>
        <w:widowControl w:val="0"/>
        <w:numPr>
          <w:ilvl w:val="0"/>
          <w:numId w:val="3"/>
        </w:numPr>
        <w:rPr>
          <w:lang w:val="de-DE"/>
        </w:rPr>
      </w:pPr>
      <w:r>
        <w:rPr>
          <w:lang w:val="de-DE"/>
        </w:rPr>
        <w:t>temporäres Downloaden der Schriftarten auf einen Drucker oder ein anderes Ausgabegerät, um das Drucken von Inhalt zu unterstützen.</w:t>
      </w:r>
    </w:p>
    <w:bookmarkEnd w:id="1"/>
    <w:bookmarkEnd w:id="2"/>
    <w:p w14:paraId="287ECC87" w14:textId="77777777" w:rsidR="00FE6FB5" w:rsidRDefault="00815AC2">
      <w:pPr>
        <w:pStyle w:val="Heading1"/>
        <w:widowControl w:val="0"/>
        <w:rPr>
          <w:b w:val="0"/>
          <w:bCs w:val="0"/>
          <w:lang w:val="de-DE"/>
        </w:rPr>
      </w:pPr>
      <w:r>
        <w:rPr>
          <w:lang w:val="de-DE"/>
        </w:rPr>
        <w:lastRenderedPageBreak/>
        <w:t>GÜLTIGKEITSBEREICH DER LIZENZ.</w:t>
      </w:r>
      <w:r>
        <w:rPr>
          <w:b w:val="0"/>
          <w:bCs w:val="0"/>
          <w:lang w:val="de-DE"/>
        </w:rPr>
        <w:t xml:space="preserve"> Die Software wird lizenziert, nicht verkauft. Dieser Vertrag gibt Ihnen nur einige Rechte zur Verwendung der Software. Microsoft behält sich alle anderen Rechte vor. Sie dürfen die Software nur wie in diesem Vertrag ausdrücklich gestattet verwenden, es se</w:t>
      </w:r>
      <w:r>
        <w:rPr>
          <w:b w:val="0"/>
          <w:bCs w:val="0"/>
          <w:lang w:val="de-DE"/>
        </w:rPr>
        <w:t>i denn, das anwendbare Recht gibt Ihnen ungeachtet dieser Einschränkung umfassendere Rechte. Dabei sind Sie verpflichtet, alle technischen Beschränkungen der Software einzuhalten, die Ihnen nur spezielle Verwendungen gestatten. Sie sind nicht dazu berechti</w:t>
      </w:r>
      <w:r>
        <w:rPr>
          <w:b w:val="0"/>
          <w:bCs w:val="0"/>
          <w:lang w:val="de-DE"/>
        </w:rPr>
        <w:t>gt:</w:t>
      </w:r>
    </w:p>
    <w:p w14:paraId="287ECC88" w14:textId="77777777" w:rsidR="00FE6FB5" w:rsidRDefault="00815AC2">
      <w:pPr>
        <w:pStyle w:val="Bullet2"/>
        <w:widowControl w:val="0"/>
        <w:rPr>
          <w:lang w:val="de-DE"/>
        </w:rPr>
      </w:pPr>
      <w:r>
        <w:rPr>
          <w:lang w:val="de-DE"/>
        </w:rPr>
        <w:t>technische Beschränkungen der Software zu umgehen</w:t>
      </w:r>
    </w:p>
    <w:p w14:paraId="287ECC89" w14:textId="77777777" w:rsidR="00FE6FB5" w:rsidRDefault="00815AC2">
      <w:pPr>
        <w:pStyle w:val="Bullet2"/>
        <w:widowControl w:val="0"/>
        <w:rPr>
          <w:lang w:val="de-DE"/>
        </w:rPr>
      </w:pPr>
      <w:r>
        <w:rPr>
          <w:lang w:val="de-DE"/>
        </w:rPr>
        <w:t xml:space="preserve">die Software zurückzuentwickeln (Reverse Engineering), zu dekompilieren oder zu disassemblieren, es sei denn, dass (und nur insoweit) es durch das anwendbare Recht ungeachtet dieser Einschränkung </w:t>
      </w:r>
      <w:r>
        <w:rPr>
          <w:lang w:val="de-DE"/>
        </w:rPr>
        <w:t>ausdrücklich gestattet ist</w:t>
      </w:r>
    </w:p>
    <w:p w14:paraId="287ECC8A" w14:textId="77777777" w:rsidR="00FE6FB5" w:rsidRDefault="00815AC2">
      <w:pPr>
        <w:pStyle w:val="Bullet2"/>
        <w:widowControl w:val="0"/>
        <w:rPr>
          <w:lang w:val="de-DE"/>
        </w:rPr>
      </w:pPr>
      <w:r>
        <w:rPr>
          <w:lang w:val="de-DE"/>
        </w:rPr>
        <w:t>eine größere Anzahl von Kopien der Software als in diesem Vertrag angegeben oder vom anwendbaren Recht ungeachtet dieser Einschränkung ausdrücklich gestattet anzufertigen</w:t>
      </w:r>
    </w:p>
    <w:p w14:paraId="287ECC8B" w14:textId="77777777" w:rsidR="00FE6FB5" w:rsidRDefault="00815AC2">
      <w:pPr>
        <w:pStyle w:val="Bullet2"/>
        <w:widowControl w:val="0"/>
        <w:rPr>
          <w:lang w:val="de-DE"/>
        </w:rPr>
      </w:pPr>
      <w:r>
        <w:rPr>
          <w:lang w:val="de-DE"/>
        </w:rPr>
        <w:t>die Software zu veröffentlichen, damit andere sie kopieren</w:t>
      </w:r>
      <w:r>
        <w:rPr>
          <w:lang w:val="de-DE"/>
        </w:rPr>
        <w:t xml:space="preserve"> können</w:t>
      </w:r>
    </w:p>
    <w:p w14:paraId="287ECC8C" w14:textId="77777777" w:rsidR="00FE6FB5" w:rsidRDefault="00815AC2">
      <w:pPr>
        <w:pStyle w:val="Bullet2"/>
        <w:widowControl w:val="0"/>
        <w:rPr>
          <w:lang w:val="bg-BG"/>
        </w:rPr>
      </w:pPr>
      <w:r>
        <w:rPr>
          <w:lang w:val="de-DE"/>
        </w:rPr>
        <w:t>die Software auf eine Weise zu verwenden, die gegen das Gesetz verstößt</w:t>
      </w:r>
    </w:p>
    <w:p w14:paraId="287ECC8D" w14:textId="77777777" w:rsidR="00FE6FB5" w:rsidRDefault="00815AC2">
      <w:pPr>
        <w:pStyle w:val="Bullet2"/>
        <w:widowControl w:val="0"/>
        <w:rPr>
          <w:lang w:val="de-DE"/>
        </w:rPr>
      </w:pPr>
      <w:r>
        <w:rPr>
          <w:lang w:val="de-DE"/>
        </w:rPr>
        <w:t>die Software zu vermieten, zu verleasen oder zu verleihen</w:t>
      </w:r>
    </w:p>
    <w:p w14:paraId="287ECC8E" w14:textId="77777777" w:rsidR="00FE6FB5" w:rsidRDefault="00815AC2">
      <w:pPr>
        <w:pStyle w:val="Bullet2"/>
        <w:widowControl w:val="0"/>
        <w:rPr>
          <w:lang w:val="de-DE"/>
        </w:rPr>
      </w:pPr>
      <w:r>
        <w:rPr>
          <w:lang w:val="de-DE"/>
        </w:rPr>
        <w:t>die Software für kommerzielle Software-Hostingdienste zu verwenden.</w:t>
      </w:r>
    </w:p>
    <w:p w14:paraId="287ECC8F" w14:textId="77777777" w:rsidR="00FE6FB5" w:rsidRDefault="00815AC2">
      <w:pPr>
        <w:pStyle w:val="Heading1"/>
        <w:widowControl w:val="0"/>
        <w:rPr>
          <w:rFonts w:eastAsia="SimSun"/>
        </w:rPr>
      </w:pPr>
      <w:r>
        <w:t>SICHERUNGSKOPIE.</w:t>
      </w:r>
    </w:p>
    <w:p w14:paraId="287ECC90" w14:textId="77777777" w:rsidR="00FE6FB5" w:rsidRDefault="00815AC2">
      <w:pPr>
        <w:pStyle w:val="Heading2"/>
        <w:widowControl w:val="0"/>
        <w:rPr>
          <w:rFonts w:eastAsia="SimSun"/>
          <w:b w:val="0"/>
          <w:bCs w:val="0"/>
          <w:lang w:val="de-DE"/>
        </w:rPr>
      </w:pPr>
      <w:r>
        <w:t>Elektronischer Download.</w:t>
      </w:r>
      <w:r>
        <w:rPr>
          <w:b w:val="0"/>
        </w:rPr>
        <w:t xml:space="preserve"> </w:t>
      </w:r>
      <w:r>
        <w:rPr>
          <w:b w:val="0"/>
          <w:lang w:val="de-DE"/>
        </w:rPr>
        <w:t>Wenn Sie</w:t>
      </w:r>
      <w:r>
        <w:rPr>
          <w:b w:val="0"/>
          <w:lang w:val="de-DE"/>
        </w:rPr>
        <w:t xml:space="preserve"> die Software online erworben und heruntergeladen haben, sind Sie berechtigt, eine Kopie der Software auf einer CD oder anderen Medien anzufertigen, um die Software auf dem lizenzierten Gerät zu installieren. Sie sind außerdem berechtigt, diese zur erneute</w:t>
      </w:r>
      <w:r>
        <w:rPr>
          <w:b w:val="0"/>
          <w:lang w:val="de-DE"/>
        </w:rPr>
        <w:t>n Installation der Software auf dem lizenzierten Gerät zu verwenden.</w:t>
      </w:r>
    </w:p>
    <w:p w14:paraId="287ECC91" w14:textId="77777777" w:rsidR="00FE6FB5" w:rsidRDefault="00815AC2">
      <w:pPr>
        <w:pStyle w:val="Heading1"/>
        <w:widowControl w:val="0"/>
        <w:rPr>
          <w:rFonts w:eastAsia="SimSun"/>
          <w:b w:val="0"/>
          <w:bCs w:val="0"/>
          <w:lang w:val="de-DE"/>
        </w:rPr>
      </w:pPr>
      <w:r>
        <w:rPr>
          <w:lang w:val="de-DE"/>
        </w:rPr>
        <w:t>DOKUMENTATION.</w:t>
      </w:r>
      <w:r>
        <w:rPr>
          <w:b w:val="0"/>
          <w:lang w:val="de-DE"/>
        </w:rPr>
        <w:t xml:space="preserve"> Jede Person, die über einen gültigen Zugriff auf Ihr lizenziertes Gerät oder Ihr internes Netzwerk verfügt, ist berechtigt, die Dokumentation zu Ihren internen Referenzzwec</w:t>
      </w:r>
      <w:r>
        <w:rPr>
          <w:b w:val="0"/>
          <w:lang w:val="de-DE"/>
        </w:rPr>
        <w:t>ken zu kopieren und zu verwenden.</w:t>
      </w:r>
    </w:p>
    <w:p w14:paraId="287ECC92" w14:textId="77777777" w:rsidR="00FE6FB5" w:rsidRDefault="00815AC2">
      <w:pPr>
        <w:pStyle w:val="Heading1"/>
        <w:widowControl w:val="0"/>
        <w:rPr>
          <w:b w:val="0"/>
          <w:bCs w:val="0"/>
          <w:lang w:val="de-DE"/>
        </w:rPr>
      </w:pPr>
      <w:r>
        <w:rPr>
          <w:lang w:val="de-DE"/>
        </w:rPr>
        <w:t xml:space="preserve">NEUZUWEISUNG ZU EINEM ANDEREN GERÄT. </w:t>
      </w:r>
      <w:r>
        <w:rPr>
          <w:b w:val="0"/>
          <w:bCs w:val="0"/>
          <w:lang w:val="de-DE"/>
        </w:rPr>
        <w:t>Sie sind berechtigt, die Lizenz beliebig oft einem anderen Gerät neu zuzuweisen, jedoch nicht öfter als einmal alle 90 Tage. Wenn Sie eine Neuzuweisung ausführen, wird das entsprechende</w:t>
      </w:r>
      <w:r>
        <w:rPr>
          <w:b w:val="0"/>
          <w:bCs w:val="0"/>
          <w:lang w:val="de-DE"/>
        </w:rPr>
        <w:t xml:space="preserve"> andere Gerät das „lizenzierte Gerät“. Wenn Sie das lizenzierte Gerät aufgrund eines Hardwarefehlers außer Dienst stellen, sind Sie berechtigt, die Lizenz früher neu zuzuweisen.</w:t>
      </w:r>
    </w:p>
    <w:p w14:paraId="287ECC93" w14:textId="77777777" w:rsidR="00FE6FB5" w:rsidRDefault="00815AC2">
      <w:pPr>
        <w:pStyle w:val="Heading1"/>
        <w:widowControl w:val="0"/>
        <w:rPr>
          <w:b w:val="0"/>
          <w:bCs w:val="0"/>
          <w:lang w:val="de-DE"/>
        </w:rPr>
      </w:pPr>
      <w:r>
        <w:rPr>
          <w:lang w:val="de-DE"/>
        </w:rPr>
        <w:t>AUSFUHRBESCHRÄNKUNGEN.</w:t>
      </w:r>
      <w:r>
        <w:rPr>
          <w:b w:val="0"/>
          <w:bCs w:val="0"/>
          <w:lang w:val="de-DE"/>
        </w:rPr>
        <w:t xml:space="preserve"> Die Software unterliegt den Exportgesetzen und -regelun</w:t>
      </w:r>
      <w:r>
        <w:rPr>
          <w:b w:val="0"/>
          <w:bCs w:val="0"/>
          <w:lang w:val="de-DE"/>
        </w:rPr>
        <w:t>gen der USA sowie des Landes, aus dem sie ausgeführt wird. Sie sind verpflichtet, alle nationalen und internationalen Exportgesetze und -regelungen einzuhalten, die für die Software gelten. Zu diesen Gesetzen gehören Einschränkungen im Hinblick auf Bestimm</w:t>
      </w:r>
      <w:r>
        <w:rPr>
          <w:b w:val="0"/>
          <w:bCs w:val="0"/>
          <w:lang w:val="de-DE"/>
        </w:rPr>
        <w:t xml:space="preserve">ungsorte, Endbenutzer und Endbenutzung. Weitere Informationen finden Sie unter </w:t>
      </w:r>
      <w:r>
        <w:rPr>
          <w:rStyle w:val="Hyperlink"/>
          <w:rFonts w:cs="Tahoma"/>
          <w:b w:val="0"/>
          <w:bCs w:val="0"/>
          <w:color w:val="auto"/>
          <w:u w:val="none"/>
          <w:lang w:val="de-DE"/>
        </w:rPr>
        <w:t>www.microsoft.com/exporting</w:t>
      </w:r>
      <w:r>
        <w:rPr>
          <w:b w:val="0"/>
          <w:bCs w:val="0"/>
          <w:lang w:val="de-DE"/>
        </w:rPr>
        <w:t xml:space="preserve">, oder wenden Sie sich an das verbundene Unternehmen von Microsoft in Ihrem Land, siehe unter </w:t>
      </w:r>
      <w:r>
        <w:rPr>
          <w:rStyle w:val="Hyperlink"/>
          <w:rFonts w:cs="Tahoma"/>
          <w:b w:val="0"/>
          <w:bCs w:val="0"/>
          <w:color w:val="auto"/>
          <w:u w:val="none"/>
          <w:lang w:val="de-DE"/>
        </w:rPr>
        <w:t>www.microsoft.com/worldwide</w:t>
      </w:r>
      <w:r>
        <w:rPr>
          <w:b w:val="0"/>
          <w:bCs w:val="0"/>
          <w:lang w:val="de-DE"/>
        </w:rPr>
        <w:t xml:space="preserve"> oder für Deutschland unter </w:t>
      </w:r>
      <w:r>
        <w:rPr>
          <w:rStyle w:val="Hyperlink"/>
          <w:rFonts w:cs="Tahoma"/>
          <w:b w:val="0"/>
          <w:bCs w:val="0"/>
          <w:color w:val="auto"/>
          <w:u w:val="none"/>
          <w:lang w:val="de-DE"/>
        </w:rPr>
        <w:t>w</w:t>
      </w:r>
      <w:r>
        <w:rPr>
          <w:rStyle w:val="Hyperlink"/>
          <w:rFonts w:cs="Tahoma"/>
          <w:b w:val="0"/>
          <w:bCs w:val="0"/>
          <w:color w:val="auto"/>
          <w:u w:val="none"/>
          <w:lang w:val="de-DE"/>
        </w:rPr>
        <w:t>ww.microsoft.com/germany</w:t>
      </w:r>
      <w:r>
        <w:rPr>
          <w:b w:val="0"/>
          <w:bCs w:val="0"/>
          <w:lang w:val="de-DE"/>
        </w:rPr>
        <w:t xml:space="preserve"> oder telefonisch unter (49) (0) 89-3176-0.</w:t>
      </w:r>
    </w:p>
    <w:p w14:paraId="287ECC94" w14:textId="77777777" w:rsidR="00FE6FB5" w:rsidRDefault="00815AC2">
      <w:pPr>
        <w:pStyle w:val="Heading1"/>
        <w:widowControl w:val="0"/>
        <w:rPr>
          <w:b w:val="0"/>
          <w:bCs w:val="0"/>
          <w:lang w:val="de-DE"/>
        </w:rPr>
      </w:pPr>
      <w:r>
        <w:rPr>
          <w:lang w:val="de-DE"/>
        </w:rPr>
        <w:t>SUPPORTLEISTUNGEN.</w:t>
      </w:r>
      <w:r>
        <w:rPr>
          <w:b w:val="0"/>
          <w:bCs w:val="0"/>
          <w:lang w:val="de-DE"/>
        </w:rPr>
        <w:t xml:space="preserve"> Microsoft stellt Supportleistungen für die Software bereit, die unter </w:t>
      </w:r>
      <w:r>
        <w:rPr>
          <w:rStyle w:val="Hyperlink"/>
          <w:rFonts w:cs="Tahoma"/>
          <w:b w:val="0"/>
          <w:bCs w:val="0"/>
          <w:color w:val="auto"/>
          <w:u w:val="none"/>
          <w:lang w:val="de-DE"/>
        </w:rPr>
        <w:t>www.support.microsoft.com/common/international.aspx</w:t>
      </w:r>
      <w:r>
        <w:rPr>
          <w:b w:val="0"/>
          <w:bCs w:val="0"/>
          <w:lang w:val="de-DE"/>
        </w:rPr>
        <w:t xml:space="preserve"> beschrieben werden.</w:t>
      </w:r>
    </w:p>
    <w:p w14:paraId="287ECC95" w14:textId="77777777" w:rsidR="00FE6FB5" w:rsidRDefault="00815AC2">
      <w:pPr>
        <w:pStyle w:val="Heading1"/>
        <w:widowControl w:val="0"/>
        <w:rPr>
          <w:b w:val="0"/>
          <w:bCs w:val="0"/>
          <w:lang w:val="de-DE"/>
        </w:rPr>
      </w:pPr>
      <w:r>
        <w:rPr>
          <w:lang w:val="de-DE"/>
        </w:rPr>
        <w:t>GESAMTER VERTRAG.</w:t>
      </w:r>
      <w:r>
        <w:rPr>
          <w:b w:val="0"/>
          <w:bCs w:val="0"/>
          <w:lang w:val="de-DE"/>
        </w:rPr>
        <w:t xml:space="preserve"> Dieser Ve</w:t>
      </w:r>
      <w:r>
        <w:rPr>
          <w:b w:val="0"/>
          <w:bCs w:val="0"/>
          <w:lang w:val="de-DE"/>
        </w:rPr>
        <w:t>rtrag (einschließlich der Garantie weiter unten), alle im Lieferumfang der Software enthaltenen Nachträge oder Ergänzungsvereinbarungen sowie die Bestimmungen für von Ihnen verwendete Ergänzungen, Updates, internetbasierte Dienste und Supportleistungen ste</w:t>
      </w:r>
      <w:r>
        <w:rPr>
          <w:b w:val="0"/>
          <w:bCs w:val="0"/>
          <w:lang w:val="de-DE"/>
        </w:rPr>
        <w:t>llen den gesamten Vertrag für die Software und die Supportleistungen dar.</w:t>
      </w:r>
    </w:p>
    <w:p w14:paraId="287ECC96" w14:textId="77777777" w:rsidR="00FE6FB5" w:rsidRDefault="00815AC2">
      <w:pPr>
        <w:pStyle w:val="Heading1"/>
        <w:widowControl w:val="0"/>
        <w:rPr>
          <w:lang w:val="de-DE"/>
        </w:rPr>
      </w:pPr>
      <w:r>
        <w:rPr>
          <w:lang w:val="de-DE"/>
        </w:rPr>
        <w:t>ANWENDBARES RECHT.</w:t>
      </w:r>
    </w:p>
    <w:p w14:paraId="287ECC97" w14:textId="77777777" w:rsidR="00FE6FB5" w:rsidRDefault="00815AC2">
      <w:pPr>
        <w:pStyle w:val="Heading2"/>
        <w:widowControl w:val="0"/>
        <w:rPr>
          <w:b w:val="0"/>
          <w:bCs w:val="0"/>
          <w:lang w:val="de-DE"/>
        </w:rPr>
      </w:pPr>
      <w:r>
        <w:rPr>
          <w:lang w:val="de-DE"/>
        </w:rPr>
        <w:t>Vereinigte Staaten.</w:t>
      </w:r>
      <w:r>
        <w:rPr>
          <w:b w:val="0"/>
          <w:bCs w:val="0"/>
          <w:lang w:val="de-DE"/>
        </w:rPr>
        <w:t xml:space="preserve"> Wenn Sie die Software in den Vereinigten Staaten erworben haben, regelt das Gesetz des Staates Washington die Auslegung dieses Vertrags und gil</w:t>
      </w:r>
      <w:r>
        <w:rPr>
          <w:b w:val="0"/>
          <w:bCs w:val="0"/>
          <w:lang w:val="de-DE"/>
        </w:rPr>
        <w:t>t für Ansprüche, die aus einer Vertragsverletzung entstehen, ungeachtet von Prinzipien über Gesetzeskonflikte. Die Gesetze des Staates Ihres Wohnortes regeln alle anderen Ansprüche, einschließlich Ansprüche aus den Verbraucherschutzgesetzen des Staates, au</w:t>
      </w:r>
      <w:r>
        <w:rPr>
          <w:b w:val="0"/>
          <w:bCs w:val="0"/>
          <w:lang w:val="de-DE"/>
        </w:rPr>
        <w:t>s Gesetzen gegen unlauteren Wettbewerb und aus Schadenersatzverfahren.</w:t>
      </w:r>
    </w:p>
    <w:p w14:paraId="287ECC98" w14:textId="77777777" w:rsidR="00FE6FB5" w:rsidRDefault="00815AC2">
      <w:pPr>
        <w:pStyle w:val="Heading2"/>
        <w:widowControl w:val="0"/>
        <w:rPr>
          <w:b w:val="0"/>
          <w:bCs w:val="0"/>
          <w:lang w:val="de-DE"/>
        </w:rPr>
      </w:pPr>
      <w:r>
        <w:rPr>
          <w:lang w:val="de-DE"/>
        </w:rPr>
        <w:t>Außerhalb der Vereinigten Staaten.</w:t>
      </w:r>
      <w:r>
        <w:rPr>
          <w:b w:val="0"/>
          <w:bCs w:val="0"/>
          <w:lang w:val="de-DE"/>
        </w:rPr>
        <w:t xml:space="preserve"> Wenn Sie die Software in einem anderen Land erworben haben, gelten die Gesetze dieses Landes.</w:t>
      </w:r>
    </w:p>
    <w:p w14:paraId="287ECC99" w14:textId="77777777" w:rsidR="00FE6FB5" w:rsidRDefault="00815AC2">
      <w:pPr>
        <w:pStyle w:val="Heading1"/>
        <w:widowControl w:val="0"/>
        <w:rPr>
          <w:b w:val="0"/>
          <w:bCs w:val="0"/>
          <w:lang w:val="de-DE"/>
        </w:rPr>
      </w:pPr>
      <w:r>
        <w:rPr>
          <w:lang w:val="de-DE"/>
        </w:rPr>
        <w:t>RECHTSKRAFT.</w:t>
      </w:r>
      <w:r>
        <w:rPr>
          <w:b w:val="0"/>
          <w:bCs w:val="0"/>
          <w:lang w:val="de-DE"/>
        </w:rPr>
        <w:t xml:space="preserve"> Dieser Vertrag beschreibt bestimmte gesetzl</w:t>
      </w:r>
      <w:r>
        <w:rPr>
          <w:b w:val="0"/>
          <w:bCs w:val="0"/>
          <w:lang w:val="de-DE"/>
        </w:rPr>
        <w:t xml:space="preserve">iche Rechte. Möglicherweise haben Sie unter den Gesetzen Ihres Staates oder Landes weitergehende Rechte. Möglicherweise verfügen Sie außerdem über Rechte im </w:t>
      </w:r>
      <w:r>
        <w:rPr>
          <w:b w:val="0"/>
          <w:bCs w:val="0"/>
          <w:lang w:val="de-DE"/>
        </w:rPr>
        <w:lastRenderedPageBreak/>
        <w:t xml:space="preserve">Hinblick auf die Partei, von der Sie die Software erworben haben. Dieser Vertrag ändert nicht Ihre </w:t>
      </w:r>
      <w:r>
        <w:rPr>
          <w:b w:val="0"/>
          <w:bCs w:val="0"/>
          <w:lang w:val="de-DE"/>
        </w:rPr>
        <w:t>Rechte, die sich aus den Gesetzen Ihres Staates oder Bundeslandes ergeben, sofern die Gesetze Ihres Staates oder Bundeslandes dies nicht zulassen.</w:t>
      </w:r>
    </w:p>
    <w:p w14:paraId="287ECC9A" w14:textId="77777777" w:rsidR="00FE6FB5" w:rsidRDefault="00815AC2">
      <w:pPr>
        <w:pStyle w:val="Heading1"/>
        <w:widowControl w:val="0"/>
        <w:rPr>
          <w:lang w:val="de-DE"/>
        </w:rPr>
      </w:pPr>
      <w:r>
        <w:rPr>
          <w:lang w:val="de-DE"/>
        </w:rPr>
        <w:t>BESCHRÄNKUNG UND AUSSCHLUSS DES SCHADENERSATZES. Sie können von Microsoft und deren Lieferanten nur einen Ers</w:t>
      </w:r>
      <w:r>
        <w:rPr>
          <w:lang w:val="de-DE"/>
        </w:rPr>
        <w:t>atz für direkte Schäden bis zu dem Betrag erhalten, den Sie für die Software gezahlt haben. Sie können keinen Ersatz für andere Schäden erhalten, einschließlich Folgeschäden, Schäden aus entgangenem Gewinn, spezielle, indirekte oder beiläufig entstandene S</w:t>
      </w:r>
      <w:r>
        <w:rPr>
          <w:lang w:val="de-DE"/>
        </w:rPr>
        <w:t>chäden.</w:t>
      </w:r>
    </w:p>
    <w:p w14:paraId="287ECC9B" w14:textId="77777777" w:rsidR="00FE6FB5" w:rsidRDefault="00815AC2">
      <w:pPr>
        <w:pStyle w:val="Body1"/>
        <w:widowControl w:val="0"/>
        <w:rPr>
          <w:lang w:val="de-DE"/>
        </w:rPr>
      </w:pPr>
      <w:r>
        <w:rPr>
          <w:lang w:val="de-DE"/>
        </w:rPr>
        <w:t>Diese Beschränkung gilt für:</w:t>
      </w:r>
    </w:p>
    <w:p w14:paraId="287ECC9C" w14:textId="77777777" w:rsidR="00FE6FB5" w:rsidRDefault="00815AC2">
      <w:pPr>
        <w:pStyle w:val="Bullet2"/>
        <w:widowControl w:val="0"/>
        <w:rPr>
          <w:lang w:val="de-DE"/>
        </w:rPr>
      </w:pPr>
      <w:r>
        <w:rPr>
          <w:lang w:val="de-DE"/>
        </w:rPr>
        <w:t>jeden Gegenstand im Zusammenhang mit der Software, Diensten, Inhalten (einschließlich Code) auf Internetseiten von Drittanbietern oder Programmen von Drittanbietern</w:t>
      </w:r>
    </w:p>
    <w:p w14:paraId="287ECC9D" w14:textId="77777777" w:rsidR="00FE6FB5" w:rsidRDefault="00815AC2">
      <w:pPr>
        <w:pStyle w:val="Bullet2"/>
        <w:widowControl w:val="0"/>
        <w:rPr>
          <w:lang w:val="de-DE"/>
        </w:rPr>
      </w:pPr>
      <w:r>
        <w:rPr>
          <w:lang w:val="de-DE"/>
        </w:rPr>
        <w:t>Ansprüche aus Vertragsverletzungen, Verletzungen der G</w:t>
      </w:r>
      <w:r>
        <w:rPr>
          <w:lang w:val="de-DE"/>
        </w:rPr>
        <w:t>arantie oder der Gewährleistung, verschuldensunabhängiger Haftung, Fahrlässigkeit oder anderen unerlaubten Handlungen im durch das anwendbare Recht gestatteten Umfang.</w:t>
      </w:r>
    </w:p>
    <w:p w14:paraId="287ECC9E" w14:textId="77777777" w:rsidR="00FE6FB5" w:rsidRDefault="00815AC2">
      <w:pPr>
        <w:pStyle w:val="Body1"/>
        <w:widowControl w:val="0"/>
        <w:rPr>
          <w:lang w:val="de-DE"/>
        </w:rPr>
      </w:pPr>
      <w:r>
        <w:rPr>
          <w:lang w:val="de-DE"/>
        </w:rPr>
        <w:t>Sie gilt auch:</w:t>
      </w:r>
    </w:p>
    <w:p w14:paraId="287ECC9F" w14:textId="77777777" w:rsidR="00FE6FB5" w:rsidRDefault="00815AC2">
      <w:pPr>
        <w:pStyle w:val="Bullet2"/>
        <w:widowControl w:val="0"/>
        <w:rPr>
          <w:lang w:val="de-DE"/>
        </w:rPr>
      </w:pPr>
      <w:r>
        <w:rPr>
          <w:lang w:val="de-DE"/>
        </w:rPr>
        <w:t>wenn Nachbesserung, Nachlieferung oder Erstattung des Kaufpreises für die</w:t>
      </w:r>
      <w:r>
        <w:rPr>
          <w:lang w:val="de-DE"/>
        </w:rPr>
        <w:t xml:space="preserve"> Software Sie nicht vollständig für Verluste entschädigt</w:t>
      </w:r>
    </w:p>
    <w:p w14:paraId="287ECCA0" w14:textId="77777777" w:rsidR="00FE6FB5" w:rsidRDefault="00815AC2">
      <w:pPr>
        <w:pStyle w:val="Bullet2"/>
        <w:widowControl w:val="0"/>
        <w:rPr>
          <w:lang w:val="de-DE"/>
        </w:rPr>
      </w:pPr>
      <w:r>
        <w:rPr>
          <w:lang w:val="de-DE"/>
        </w:rPr>
        <w:t>wenn Microsoft von der Möglichkeit der Schäden gewusst hat oder hätte wissen müssen.</w:t>
      </w:r>
    </w:p>
    <w:p w14:paraId="287ECCA1" w14:textId="77777777" w:rsidR="00FE6FB5" w:rsidRDefault="00815AC2">
      <w:pPr>
        <w:pStyle w:val="Body1"/>
        <w:widowControl w:val="0"/>
        <w:rPr>
          <w:b/>
          <w:bCs/>
          <w:lang w:val="de-DE"/>
        </w:rPr>
      </w:pPr>
      <w:r>
        <w:rPr>
          <w:lang w:val="de-DE"/>
        </w:rPr>
        <w:t>Einige Staaten gestatten den Ausschluss oder die Beschränkung von Folge- oder beiläufig entstandenen Schäden nicht</w:t>
      </w:r>
      <w:r>
        <w:rPr>
          <w:lang w:val="de-DE"/>
        </w:rPr>
        <w:t>. Daher gilt die obige Beschränkung oder der obige Ausschluss möglicherweise nicht für Sie. Obige Beschränkung und obiger Ausschluss gelten möglicherweise auch deshalb nicht für Sie, weil Ihr Land den Ausschluss oder die Beschränkung von beiläufig entstand</w:t>
      </w:r>
      <w:r>
        <w:rPr>
          <w:lang w:val="de-DE"/>
        </w:rPr>
        <w:t>enen Schäden, Folgeschäden oder sonstigen Schäden nicht gestattet.</w:t>
      </w:r>
      <w:r>
        <w:rPr>
          <w:lang w:val="de-DE"/>
        </w:rPr>
        <w:br/>
      </w:r>
      <w:r>
        <w:rPr>
          <w:lang w:val="de-DE"/>
        </w:rPr>
        <w:br/>
      </w:r>
      <w:r>
        <w:rPr>
          <w:rStyle w:val="Body0BoldChar"/>
          <w:b w:val="0"/>
          <w:bCs w:val="0"/>
          <w:sz w:val="20"/>
          <w:szCs w:val="20"/>
          <w:lang w:val="de-DE"/>
        </w:rPr>
        <w:t>Wenn Sie die Software in DEUTSCHLAND oder in ÖSTERREICH erworben haben, findet die Beschränkung im vorstehenden Absatz „Beschränkung und Ausschluss des Schadenersatzes“ auf Sie keine Anwen</w:t>
      </w:r>
      <w:r>
        <w:rPr>
          <w:rStyle w:val="Body0BoldChar"/>
          <w:b w:val="0"/>
          <w:bCs w:val="0"/>
          <w:sz w:val="20"/>
          <w:szCs w:val="20"/>
          <w:lang w:val="de-DE"/>
        </w:rPr>
        <w:t xml:space="preserve">dung. </w:t>
      </w:r>
      <w:r>
        <w:rPr>
          <w:lang w:val="de-DE"/>
        </w:rPr>
        <w:t>Stattdessen gelten für Schadenersatz oder Ersatz vergeblicher Aufwendungen, gleich aus welchem Rechtsgrund einschließlich unerlaubter Handlung, die folgenden Regelungen:</w:t>
      </w:r>
      <w:r>
        <w:rPr>
          <w:lang w:val="de-DE"/>
        </w:rPr>
        <w:br/>
      </w:r>
      <w:r>
        <w:rPr>
          <w:lang w:val="de-DE"/>
        </w:rPr>
        <w:br/>
        <w:t>Microsoft</w:t>
      </w:r>
      <w:r>
        <w:rPr>
          <w:lang w:val="de-DE"/>
        </w:rPr>
        <w:t xml:space="preserve"> haftet bei Vorsatz, grober Fahrlässigkeit, bei Ansprüchen nach dem Produkthaftungsgesetz sowie bei Verletzung von Leben, Körper oder der Gesundheit nach den gesetzlichen Vorschriften.</w:t>
      </w:r>
      <w:r>
        <w:rPr>
          <w:lang w:val="de-DE"/>
        </w:rPr>
        <w:br/>
      </w:r>
      <w:r>
        <w:rPr>
          <w:lang w:val="de-DE"/>
        </w:rPr>
        <w:br/>
        <w:t>Microsoft haftet nicht für leichte Fahrlässigkeit. Wenn Sie die Softwa</w:t>
      </w:r>
      <w:r>
        <w:rPr>
          <w:lang w:val="de-DE"/>
        </w:rPr>
        <w:t xml:space="preserve">re jedoch in </w:t>
      </w:r>
      <w:r>
        <w:rPr>
          <w:rStyle w:val="Body0BoldChar"/>
          <w:b w:val="0"/>
          <w:bCs w:val="0"/>
          <w:sz w:val="20"/>
          <w:szCs w:val="20"/>
          <w:lang w:val="de-DE"/>
        </w:rPr>
        <w:t xml:space="preserve">Deutschland </w:t>
      </w:r>
      <w:r>
        <w:rPr>
          <w:lang w:val="de-DE"/>
        </w:rPr>
        <w:t xml:space="preserve">erworben haben, haftet Microsoft auch für leichte Fahrlässigkeit, wenn Microsoft eine wesentliche Vertragspflicht verletzt. In diesen Fällen ist die Haftung von Microsoft auf typische und vorhersehbare Schäden beschränkt. In allen </w:t>
      </w:r>
      <w:r>
        <w:rPr>
          <w:lang w:val="de-DE"/>
        </w:rPr>
        <w:t>anderen Fällen haftet Microsoft auch in Deutschland nicht für leichte Fahrlässigkeit.</w:t>
      </w:r>
      <w:r>
        <w:rPr>
          <w:lang w:val="de-DE"/>
        </w:rPr>
        <w:br w:type="page"/>
      </w:r>
      <w:r>
        <w:rPr>
          <w:rStyle w:val="Body0BoldChar"/>
          <w:sz w:val="20"/>
          <w:szCs w:val="20"/>
        </w:rPr>
        <w:lastRenderedPageBreak/>
        <w:t>*******************************************************************************</w:t>
      </w:r>
    </w:p>
    <w:p w14:paraId="287ECCA2" w14:textId="77777777" w:rsidR="00FE6FB5" w:rsidRDefault="00815AC2">
      <w:pPr>
        <w:pStyle w:val="HeadingWarranty"/>
        <w:widowControl w:val="0"/>
        <w:rPr>
          <w:lang w:val="de-DE"/>
        </w:rPr>
      </w:pPr>
      <w:r>
        <w:rPr>
          <w:lang w:val="de-DE"/>
        </w:rPr>
        <w:t>BESCHRÄNKTE GARANTIE</w:t>
      </w:r>
    </w:p>
    <w:p w14:paraId="287ECCA3" w14:textId="77777777" w:rsidR="00FE6FB5" w:rsidRDefault="00815AC2">
      <w:pPr>
        <w:pStyle w:val="Heading1Warranty"/>
        <w:widowControl w:val="0"/>
        <w:rPr>
          <w:lang w:val="de-DE"/>
        </w:rPr>
      </w:pPr>
      <w:r>
        <w:rPr>
          <w:b/>
          <w:bCs/>
          <w:lang w:val="de-DE"/>
        </w:rPr>
        <w:t>BESCHRÄNKTE GARANTIE.</w:t>
      </w:r>
      <w:r>
        <w:rPr>
          <w:lang w:val="de-DE"/>
        </w:rPr>
        <w:t xml:space="preserve"> Wenn Sie die Anweisungen befolgen, wird die Software im Wesentlichen arbeiten wie in den Microsoft-Materialien beschrieben, die Sie in oder mit der Software erhalten.</w:t>
      </w:r>
    </w:p>
    <w:p w14:paraId="287ECCA4" w14:textId="77777777" w:rsidR="00FE6FB5" w:rsidRDefault="00815AC2">
      <w:pPr>
        <w:pStyle w:val="Heading1Warranty"/>
        <w:numPr>
          <w:ilvl w:val="0"/>
          <w:numId w:val="0"/>
        </w:numPr>
        <w:ind w:left="360"/>
        <w:rPr>
          <w:rFonts w:eastAsia="SimSun"/>
          <w:bCs/>
          <w:lang w:val="de-DE"/>
        </w:rPr>
      </w:pPr>
      <w:r>
        <w:rPr>
          <w:lang w:val="de-DE"/>
        </w:rPr>
        <w:t>Verweise auf „Beschränkte Garantie“ sind Verweise auf die ausdrücklich von Microsoft gew</w:t>
      </w:r>
      <w:r>
        <w:rPr>
          <w:lang w:val="de-DE"/>
        </w:rPr>
        <w:t>ährte Garantie. Diese Garantie wird zusätzlich zu anderen Rechten und Abhilfeansprüchen gewährt, die Sie möglicherweise nach dem Gesetz haben, einschließlich Ihrer Rechte und Abhilfeansprüche in Übereinstimmung mit den gesetzlichen Garantien nach der örtli</w:t>
      </w:r>
      <w:r>
        <w:rPr>
          <w:lang w:val="de-DE"/>
        </w:rPr>
        <w:t>ch anwendbaren Verbrauchergesetzgebung.</w:t>
      </w:r>
    </w:p>
    <w:p w14:paraId="287ECCA5" w14:textId="77777777" w:rsidR="00FE6FB5" w:rsidRDefault="00815AC2">
      <w:pPr>
        <w:pStyle w:val="Heading1Warranty"/>
        <w:widowControl w:val="0"/>
        <w:rPr>
          <w:lang w:val="de-DE"/>
        </w:rPr>
      </w:pPr>
      <w:r>
        <w:rPr>
          <w:b/>
          <w:bCs/>
          <w:lang w:val="de-DE"/>
        </w:rPr>
        <w:t>LAUFZEIT DER GARANTIE; GARANTIEEMPFÄNGER; DAUER VON KONKLUDENTEN GEWÄHRLEISTUNGEN. Die beschränkte Garantie gilt ein Jahr ab dem Erwerb der Software durch den ersten Nutzer. Wenn Sie während dieses Jahres Ergänzungen</w:t>
      </w:r>
      <w:r>
        <w:rPr>
          <w:b/>
          <w:bCs/>
          <w:lang w:val="de-DE"/>
        </w:rPr>
        <w:t>, Updates oder Ersatzsoftware erhalten, fallen diese für den Rest des Garantiezeitraums oder 30 Tage lang unter die beschränkte Garantie, wobei der längere Zeitraum maßgeblich ist.</w:t>
      </w:r>
      <w:r>
        <w:rPr>
          <w:lang w:val="de-DE"/>
        </w:rPr>
        <w:t xml:space="preserve"> Wenn der erste Nutzer die Software überträgt, gilt für den Empfänger der re</w:t>
      </w:r>
      <w:r>
        <w:rPr>
          <w:lang w:val="de-DE"/>
        </w:rPr>
        <w:t>stliche Zeitraum der Garantie.</w:t>
      </w:r>
    </w:p>
    <w:p w14:paraId="287ECCA6" w14:textId="77777777" w:rsidR="00FE6FB5" w:rsidRDefault="00815AC2">
      <w:pPr>
        <w:pStyle w:val="Body1"/>
        <w:widowControl w:val="0"/>
        <w:rPr>
          <w:lang w:val="de-DE"/>
        </w:rPr>
      </w:pPr>
      <w:r>
        <w:rPr>
          <w:b/>
          <w:bCs/>
          <w:lang w:val="de-DE"/>
        </w:rPr>
        <w:t>Im durch das anwendbare Recht gestatteten Umfang gelten Implied Warranties oder Implied Guarantees (konkludente Gewährleistungen oder Garantien) nur während der Laufzeit der beschränkten Garantie.</w:t>
      </w:r>
      <w:r>
        <w:rPr>
          <w:lang w:val="de-DE"/>
        </w:rPr>
        <w:t xml:space="preserve"> Einige Bundesstaaten gestatt</w:t>
      </w:r>
      <w:r>
        <w:rPr>
          <w:lang w:val="de-DE"/>
        </w:rPr>
        <w:t>en keine zeitliche Begrenzung einer Implied Warranty. Daher gelten die vorstehenden Beschränkungen möglicherweise nicht für Sie. Sie gelten möglicherweise auch deshalb nicht für Sie, weil einige Länder unter Umständen keine zeitliche Begrenzung einer Impli</w:t>
      </w:r>
      <w:r>
        <w:rPr>
          <w:lang w:val="de-DE"/>
        </w:rPr>
        <w:t>ed Warranty oder Implied Guarantee gestatten.</w:t>
      </w:r>
      <w:r>
        <w:rPr>
          <w:lang w:val="de-DE"/>
        </w:rPr>
        <w:br/>
      </w:r>
      <w:r>
        <w:rPr>
          <w:lang w:val="de-DE"/>
        </w:rPr>
        <w:br/>
      </w:r>
      <w:r>
        <w:rPr>
          <w:b/>
          <w:bCs/>
          <w:lang w:val="de-DE"/>
        </w:rPr>
        <w:t>In DEUTSCHLAND und in ÖSTERREICH</w:t>
      </w:r>
      <w:r>
        <w:rPr>
          <w:lang w:val="de-DE"/>
        </w:rPr>
        <w:t xml:space="preserve"> gibt es das Konzept der Implied Warranties oder Implied Guarantees, wie es im vorstehenden zweiten Unterabschnitt von Abschnitt B dargelegt ist, nicht. Zur Vermeidung jeglicher</w:t>
      </w:r>
      <w:r>
        <w:rPr>
          <w:lang w:val="de-DE"/>
        </w:rPr>
        <w:t xml:space="preserve"> Zweifel wird klargestellt, dass Ihre gesetzlichen Rechte nach deutschem bzw. österreichischem Recht hierdurch weder ausgeschlossen noch eingeschränkt werden.</w:t>
      </w:r>
    </w:p>
    <w:p w14:paraId="287ECCA7" w14:textId="77777777" w:rsidR="00FE6FB5" w:rsidRDefault="00815AC2">
      <w:pPr>
        <w:pStyle w:val="Heading1Warranty"/>
        <w:widowControl w:val="0"/>
        <w:rPr>
          <w:lang w:val="de-DE"/>
        </w:rPr>
      </w:pPr>
      <w:r>
        <w:rPr>
          <w:b/>
          <w:bCs/>
          <w:lang w:val="de-DE"/>
        </w:rPr>
        <w:t>GARANTIEAUSSCHLÜSSE.</w:t>
      </w:r>
      <w:r>
        <w:rPr>
          <w:lang w:val="de-DE"/>
        </w:rPr>
        <w:t xml:space="preserve"> Diese Garantie deckt keine Probleme ab, die durch Ihre Handlungen (oder unte</w:t>
      </w:r>
      <w:r>
        <w:rPr>
          <w:lang w:val="de-DE"/>
        </w:rPr>
        <w:t>rlassenen Handlungen), die Handlungen anderer oder Ereignisse außerhalb zumutbarer Einflussnahme von Microsoft verursacht werden.</w:t>
      </w:r>
    </w:p>
    <w:p w14:paraId="287ECCA8" w14:textId="77777777" w:rsidR="00FE6FB5" w:rsidRDefault="00815AC2">
      <w:pPr>
        <w:pStyle w:val="Heading1Warranty"/>
        <w:widowControl w:val="0"/>
        <w:rPr>
          <w:b/>
          <w:bCs/>
          <w:lang w:val="de-DE"/>
        </w:rPr>
      </w:pPr>
      <w:r>
        <w:rPr>
          <w:b/>
          <w:bCs/>
          <w:lang w:val="de-DE"/>
        </w:rPr>
        <w:t xml:space="preserve">ANSPRÜCHE BEI VERLETZUNG DER GARANTIE. Microsoft wird die Software kostenlos nachbessern oder nachliefern. Wenn Microsoft sie </w:t>
      </w:r>
      <w:r>
        <w:rPr>
          <w:b/>
          <w:bCs/>
          <w:lang w:val="de-DE"/>
        </w:rPr>
        <w:t>nicht nachbessern oder nachliefern kann, wird Microsoft den Betrag zurückerstatten, der auf Ihrer Quittung für die Software ausgewiesen ist. Microsoft wird außerdem Ergänzungen, Updates und Ersatzsoftware kostenlos nachbessern oder nachliefern. Wenn Micros</w:t>
      </w:r>
      <w:r>
        <w:rPr>
          <w:b/>
          <w:bCs/>
          <w:lang w:val="de-DE"/>
        </w:rPr>
        <w:t>oft sie nicht nachbessern oder nachliefern kann, wird Microsoft den von Ihnen gegebenenfalls dafür gezahlten Betrag zurückerstatten. Sie sind verpflichtet, die Software zu deinstallieren und mit den dazugehörigen Medien und anderen Materialien und einem Ka</w:t>
      </w:r>
      <w:r>
        <w:rPr>
          <w:b/>
          <w:bCs/>
          <w:lang w:val="de-DE"/>
        </w:rPr>
        <w:t>ufnachweis an Microsoft zurückzugeben, um eine Rückerstattung zu erhalten. Dies sind Ihre einzigen Ansprüche im Falle einer Verletzung der beschränkten Garantie.</w:t>
      </w:r>
    </w:p>
    <w:p w14:paraId="287ECCA9" w14:textId="77777777" w:rsidR="00FE6FB5" w:rsidRDefault="00815AC2">
      <w:pPr>
        <w:pStyle w:val="Heading1Warranty"/>
        <w:widowControl w:val="0"/>
        <w:rPr>
          <w:b/>
          <w:bCs/>
          <w:lang w:val="de-DE"/>
        </w:rPr>
      </w:pPr>
      <w:r>
        <w:rPr>
          <w:b/>
          <w:bCs/>
          <w:lang w:val="de-DE"/>
        </w:rPr>
        <w:t>VERBRAUCHERRECHTE NICHT BERÜHRT. Möglicherweise haben Sie unter den örtlich anwendbaren Gesetz</w:t>
      </w:r>
      <w:r>
        <w:rPr>
          <w:b/>
          <w:bCs/>
          <w:lang w:val="de-DE"/>
        </w:rPr>
        <w:t>en zusätzliche Verbraucherrechte, die durch diesen Vertrag nicht abgeändert werden können.</w:t>
      </w:r>
    </w:p>
    <w:p w14:paraId="287ECCAA" w14:textId="77777777" w:rsidR="00FE6FB5" w:rsidRDefault="00815AC2">
      <w:pPr>
        <w:pStyle w:val="Heading1Warranty"/>
        <w:widowControl w:val="0"/>
        <w:rPr>
          <w:lang w:val="de-DE"/>
        </w:rPr>
      </w:pPr>
      <w:r>
        <w:rPr>
          <w:b/>
          <w:bCs/>
          <w:lang w:val="de-DE"/>
        </w:rPr>
        <w:t>GARANTIEVERFAHREN.</w:t>
      </w:r>
      <w:r>
        <w:rPr>
          <w:lang w:val="de-DE"/>
        </w:rPr>
        <w:t xml:space="preserve"> Für Garantieleistungen benötigen Sie einen Kaufnachweis.</w:t>
      </w:r>
    </w:p>
    <w:p w14:paraId="287ECCAB" w14:textId="77777777" w:rsidR="00FE6FB5" w:rsidRDefault="00815AC2">
      <w:pPr>
        <w:pStyle w:val="Heading2Warranty"/>
        <w:widowControl w:val="0"/>
        <w:rPr>
          <w:lang w:val="de-DE"/>
        </w:rPr>
      </w:pPr>
      <w:r>
        <w:rPr>
          <w:b/>
          <w:bCs/>
          <w:lang w:val="de-DE"/>
        </w:rPr>
        <w:t>Vereinigte Staaten und Kanada.</w:t>
      </w:r>
      <w:r>
        <w:rPr>
          <w:lang w:val="de-DE"/>
        </w:rPr>
        <w:t xml:space="preserve"> Für Garantieleistungen oder Informationen darüber, wie Sie</w:t>
      </w:r>
      <w:r>
        <w:rPr>
          <w:lang w:val="de-DE"/>
        </w:rPr>
        <w:t xml:space="preserve"> eine Rückerstattung für in den Vereinigten Staaten oder Kanada erworbene Software erhalten können, wenden Sie sich an Microsoft unter einer der folgenden Adressen bzw. Telefonnummern:</w:t>
      </w:r>
    </w:p>
    <w:p w14:paraId="287ECCAC" w14:textId="77777777" w:rsidR="00FE6FB5" w:rsidRDefault="00815AC2">
      <w:pPr>
        <w:pStyle w:val="Bullet3"/>
        <w:widowControl w:val="0"/>
        <w:rPr>
          <w:lang w:val="de-DE"/>
        </w:rPr>
      </w:pPr>
      <w:r>
        <w:rPr>
          <w:lang w:val="de-DE"/>
        </w:rPr>
        <w:t>(800) MICROSOFT</w:t>
      </w:r>
    </w:p>
    <w:p w14:paraId="287ECCAD" w14:textId="77777777" w:rsidR="00FE6FB5" w:rsidRDefault="00815AC2">
      <w:pPr>
        <w:pStyle w:val="Bullet3"/>
        <w:widowControl w:val="0"/>
      </w:pPr>
      <w:r>
        <w:t>Microsoft Customer Service and Support, One Microsoft W</w:t>
      </w:r>
      <w:r>
        <w:t>ay, Redmond, WA 98052-6399, USA oder</w:t>
      </w:r>
    </w:p>
    <w:p w14:paraId="287ECCAE" w14:textId="77777777" w:rsidR="00FE6FB5" w:rsidRDefault="00815AC2">
      <w:pPr>
        <w:pStyle w:val="Bullet3"/>
        <w:widowControl w:val="0"/>
      </w:pPr>
      <w:bookmarkStart w:id="3" w:name="_Hlt103681787"/>
      <w:r>
        <w:rPr>
          <w:rStyle w:val="Hyperlink"/>
          <w:rFonts w:cs="Tahoma"/>
          <w:color w:val="auto"/>
          <w:u w:val="none"/>
        </w:rPr>
        <w:t>www.microsoft.com/info/nareturns.htm</w:t>
      </w:r>
      <w:r>
        <w:t>.</w:t>
      </w:r>
    </w:p>
    <w:bookmarkEnd w:id="3"/>
    <w:p w14:paraId="287ECCAF" w14:textId="77777777" w:rsidR="00FE6FB5" w:rsidRDefault="00815AC2">
      <w:pPr>
        <w:pStyle w:val="Heading2Warranty"/>
        <w:widowControl w:val="0"/>
        <w:rPr>
          <w:lang w:val="de-DE"/>
        </w:rPr>
      </w:pPr>
      <w:r>
        <w:rPr>
          <w:b/>
          <w:bCs/>
          <w:lang w:val="de-DE"/>
        </w:rPr>
        <w:t>Europa, Naher Osten und Afrika.</w:t>
      </w:r>
      <w:r>
        <w:rPr>
          <w:lang w:val="de-DE"/>
        </w:rPr>
        <w:t xml:space="preserve"> Wenn Sie die Software in Europa, im Nahen Osten oder in Afrika erworben haben, gewährt Microsoft Ireland Operations Limited diese beschränkte Garanti</w:t>
      </w:r>
      <w:r>
        <w:rPr>
          <w:lang w:val="de-DE"/>
        </w:rPr>
        <w:t>e. Um einen Anspruch aus dieser Garantie geltend zu machen, wenden Sie sich bitte an eine der folgenden Adressen:</w:t>
      </w:r>
    </w:p>
    <w:p w14:paraId="287ECCB0" w14:textId="77777777" w:rsidR="00FE6FB5" w:rsidRDefault="00815AC2">
      <w:pPr>
        <w:pStyle w:val="Bullet3"/>
        <w:widowControl w:val="0"/>
      </w:pPr>
      <w:r>
        <w:t xml:space="preserve">Microsoft Ireland Operations Limited, Customer Care Centre, Atrium Building Block B, Carmanhall Road, Sandyford Industrial Estate, Dublin 18, </w:t>
      </w:r>
      <w:r>
        <w:t>Irland oder</w:t>
      </w:r>
    </w:p>
    <w:p w14:paraId="287ECCB1" w14:textId="77777777" w:rsidR="00FE6FB5" w:rsidRDefault="00815AC2">
      <w:pPr>
        <w:pStyle w:val="Bullet3"/>
        <w:widowControl w:val="0"/>
        <w:rPr>
          <w:lang w:val="de-DE"/>
        </w:rPr>
      </w:pPr>
      <w:r>
        <w:rPr>
          <w:lang w:val="de-DE"/>
        </w:rPr>
        <w:lastRenderedPageBreak/>
        <w:t xml:space="preserve">das verbundene Unternehmen von Microsoft in Ihrem Land (siehe unter </w:t>
      </w:r>
      <w:r>
        <w:rPr>
          <w:rStyle w:val="Hyperlink"/>
          <w:rFonts w:cs="Tahoma"/>
          <w:color w:val="auto"/>
          <w:u w:val="none"/>
          <w:lang w:val="de-DE"/>
        </w:rPr>
        <w:t>www.microsoft.com/worldwide</w:t>
      </w:r>
      <w:r>
        <w:rPr>
          <w:lang w:val="de-DE"/>
        </w:rPr>
        <w:t xml:space="preserve">) oder für Deutschland unter </w:t>
      </w:r>
      <w:r>
        <w:rPr>
          <w:rStyle w:val="Hyperlink"/>
          <w:rFonts w:cs="Tahoma"/>
          <w:color w:val="auto"/>
          <w:u w:val="none"/>
          <w:lang w:val="de-DE"/>
        </w:rPr>
        <w:t>www.microsoft.com/germany</w:t>
      </w:r>
      <w:r>
        <w:rPr>
          <w:lang w:val="de-DE"/>
        </w:rPr>
        <w:t>.</w:t>
      </w:r>
    </w:p>
    <w:p w14:paraId="287ECCB2" w14:textId="77777777" w:rsidR="00FE6FB5" w:rsidRDefault="00815AC2">
      <w:pPr>
        <w:pStyle w:val="Heading2Warranty"/>
        <w:widowControl w:val="0"/>
        <w:tabs>
          <w:tab w:val="clear" w:pos="720"/>
        </w:tabs>
        <w:rPr>
          <w:rFonts w:eastAsia="SimSun"/>
          <w:bCs/>
          <w:lang w:val="de-DE"/>
        </w:rPr>
      </w:pPr>
      <w:r>
        <w:rPr>
          <w:b/>
          <w:color w:val="000000"/>
          <w:lang w:val="de-DE"/>
        </w:rPr>
        <w:t>Australien.</w:t>
      </w:r>
      <w:r>
        <w:rPr>
          <w:rFonts w:eastAsia="Times New Roman"/>
          <w:color w:val="000000"/>
          <w:lang w:val="de-DE"/>
        </w:rPr>
        <w:t xml:space="preserve"> </w:t>
      </w:r>
      <w:r>
        <w:rPr>
          <w:color w:val="000000"/>
          <w:lang w:val="de-DE"/>
        </w:rPr>
        <w:t xml:space="preserve">Wenn Sie die Software in Australien erworben haben, wenden Sie sich unter </w:t>
      </w:r>
    </w:p>
    <w:p w14:paraId="287ECCB3" w14:textId="77777777" w:rsidR="00FE6FB5" w:rsidRDefault="00815AC2">
      <w:pPr>
        <w:pStyle w:val="Bullet3"/>
        <w:widowControl w:val="0"/>
        <w:rPr>
          <w:rFonts w:eastAsia="SimSun"/>
          <w:bCs/>
          <w:lang w:val="de-DE"/>
        </w:rPr>
      </w:pPr>
      <w:r>
        <w:rPr>
          <w:color w:val="000000"/>
          <w:lang w:val="de-DE"/>
        </w:rPr>
        <w:t xml:space="preserve">13 20 </w:t>
      </w:r>
      <w:r>
        <w:rPr>
          <w:color w:val="000000"/>
          <w:lang w:val="de-DE"/>
        </w:rPr>
        <w:t>58 oder</w:t>
      </w:r>
    </w:p>
    <w:p w14:paraId="287ECCB4" w14:textId="77777777" w:rsidR="00FE6FB5" w:rsidRDefault="00815AC2">
      <w:pPr>
        <w:pStyle w:val="Bullet3"/>
        <w:widowControl w:val="0"/>
        <w:rPr>
          <w:rFonts w:eastAsia="SimSun"/>
          <w:bCs/>
          <w:lang w:val="de-DE"/>
        </w:rPr>
      </w:pPr>
      <w:r>
        <w:rPr>
          <w:color w:val="000000"/>
          <w:lang w:val="de-DE"/>
        </w:rPr>
        <w:t>Microsoft Pty Ltd, 1 Epping Road, North Ryde NSW 2113 Australia an Microsoft, um einen Anspruch geltend zu machen.</w:t>
      </w:r>
    </w:p>
    <w:p w14:paraId="287ECCB5" w14:textId="77777777" w:rsidR="00FE6FB5" w:rsidRDefault="00815AC2">
      <w:pPr>
        <w:pStyle w:val="Heading2Warranty"/>
        <w:widowControl w:val="0"/>
        <w:rPr>
          <w:lang w:val="de-DE"/>
        </w:rPr>
      </w:pPr>
      <w:r>
        <w:rPr>
          <w:b/>
          <w:lang w:val="de-DE"/>
        </w:rPr>
        <w:t>Außerhalb der Vereinigten Staaten, Kanadas, Europas, des Nahen Ostens, Afrikas und Australiens.</w:t>
      </w:r>
      <w:r>
        <w:rPr>
          <w:rFonts w:eastAsia="SimSun"/>
          <w:b/>
          <w:bCs/>
          <w:lang w:val="de-DE"/>
        </w:rPr>
        <w:t xml:space="preserve"> </w:t>
      </w:r>
      <w:r>
        <w:rPr>
          <w:lang w:val="de-DE"/>
        </w:rPr>
        <w:t xml:space="preserve">Wenn Sie die Software außerhalb der </w:t>
      </w:r>
      <w:r>
        <w:rPr>
          <w:lang w:val="de-DE"/>
        </w:rPr>
        <w:t>Vereinigten Staaten, Kanadas, Europas, des Nahen Ostens, Afrikas und Australiens erworben haben, wenden Sie sich an das verbundene Unternehmen von Microsoft in Ihrem Land (siehe unter www.microsoft.com/worldwide).</w:t>
      </w:r>
    </w:p>
    <w:p w14:paraId="287ECCB6" w14:textId="77777777" w:rsidR="00FE6FB5" w:rsidRDefault="00815AC2">
      <w:pPr>
        <w:pStyle w:val="Heading1Warranty"/>
        <w:widowControl w:val="0"/>
        <w:rPr>
          <w:lang w:val="de-DE"/>
        </w:rPr>
      </w:pPr>
      <w:r>
        <w:rPr>
          <w:b/>
          <w:bCs/>
          <w:lang w:val="de-DE"/>
        </w:rPr>
        <w:t>KEINE ANDEREN GARANTIEN. Die beschränkte G</w:t>
      </w:r>
      <w:r>
        <w:rPr>
          <w:b/>
          <w:bCs/>
          <w:lang w:val="de-DE"/>
        </w:rPr>
        <w:t>arantie ist die einzige direkte Garantie von Microsoft. Microsoft gewährt keine anderen ausdrücklichen Gewährleistungen oder Garantien. Im durch das örtlich anwendbare Recht gestatteten Umfang schließt Microsoft Implied Warranties der Gebrauchstauglichkeit</w:t>
      </w:r>
      <w:r>
        <w:rPr>
          <w:b/>
          <w:bCs/>
          <w:lang w:val="de-DE"/>
        </w:rPr>
        <w:t xml:space="preserve">, Eignung für einen bestimmten Zweck und Nichtverletzung von Rechten Dritter aus. </w:t>
      </w:r>
      <w:r>
        <w:rPr>
          <w:lang w:val="de-DE"/>
        </w:rPr>
        <w:t>Wenn Ihnen das örtlich anwendbare Recht ungeachtet dieses Ausschlusses Implied Warranties oder Implied Guarantees gewährt, sind Ihre Ansprüche in der oben stehenden Klausel „</w:t>
      </w:r>
      <w:r>
        <w:rPr>
          <w:lang w:val="de-DE"/>
        </w:rPr>
        <w:t>Ansprüche bei Verletzung der Garantie“ beschrieben, soweit das örtlich anwendbare Recht dies gestattet.</w:t>
      </w:r>
    </w:p>
    <w:p w14:paraId="287ECCB7" w14:textId="77777777" w:rsidR="00FE6FB5" w:rsidRDefault="00815AC2">
      <w:pPr>
        <w:pStyle w:val="Heading1Warranty"/>
        <w:widowControl w:val="0"/>
        <w:numPr>
          <w:ilvl w:val="0"/>
          <w:numId w:val="0"/>
        </w:numPr>
        <w:ind w:left="360"/>
        <w:rPr>
          <w:rFonts w:eastAsia="SimSun"/>
          <w:bCs/>
          <w:lang w:val="de-DE"/>
        </w:rPr>
      </w:pPr>
      <w:r>
        <w:rPr>
          <w:b/>
          <w:lang w:val="de-DE"/>
        </w:rPr>
        <w:t>NUR FÜR AUSTRALIEN.</w:t>
      </w:r>
      <w:r>
        <w:rPr>
          <w:b/>
          <w:bCs/>
          <w:lang w:val="de-DE"/>
        </w:rPr>
        <w:t xml:space="preserve"> </w:t>
      </w:r>
      <w:r>
        <w:rPr>
          <w:lang w:val="de-DE"/>
        </w:rPr>
        <w:t>In diesem Absatz verweist „Waren“ auf die Software, für die Microsoft ausdrücklich Garantie gewährt.</w:t>
      </w:r>
      <w:r>
        <w:rPr>
          <w:iCs/>
          <w:lang w:val="de-DE"/>
        </w:rPr>
        <w:t xml:space="preserve"> </w:t>
      </w:r>
      <w:r>
        <w:rPr>
          <w:lang w:val="de-DE"/>
        </w:rPr>
        <w:t>Für unsere Waren gelten Garanti</w:t>
      </w:r>
      <w:r>
        <w:rPr>
          <w:lang w:val="de-DE"/>
        </w:rPr>
        <w:t>en, die nach dem Australian Consumer Law nicht ausgeschlossen werden können. Bei einem wesentlichen Fehler haben Sie Anspruch auf einen Ersatz oder eine Erstattung, und bei anderen angemessen vorhersehbaren Verlusten oder Schäden haben Sie Anspruch auf ein</w:t>
      </w:r>
      <w:r>
        <w:rPr>
          <w:lang w:val="de-DE"/>
        </w:rPr>
        <w:t>e Entschädigung. Außerdem haben Sie Anspruch auf Reparatur oder Austausch der Waren, wenn die Qualität der Waren nicht annehmbar ist und der Fehler keinen wesentlichen Fehler darstellt. Waren, die zur Reparatur eingereicht werden, können durch aufgearbeite</w:t>
      </w:r>
      <w:r>
        <w:rPr>
          <w:lang w:val="de-DE"/>
        </w:rPr>
        <w:t>te Waren desselben Typs ersetzt werden anstatt ausgetauscht zu werden. Aufgearbeitete Teile können zur Reparatur der Waren verwendet werden.</w:t>
      </w:r>
    </w:p>
    <w:p w14:paraId="287ECCB8" w14:textId="77777777" w:rsidR="00FE6FB5" w:rsidRDefault="00815AC2">
      <w:pPr>
        <w:pStyle w:val="Heading1Warranty"/>
        <w:widowControl w:val="0"/>
        <w:numPr>
          <w:ilvl w:val="0"/>
          <w:numId w:val="0"/>
        </w:numPr>
        <w:ind w:left="360"/>
        <w:rPr>
          <w:lang w:val="de-DE"/>
        </w:rPr>
      </w:pPr>
      <w:r>
        <w:rPr>
          <w:lang w:val="de-DE"/>
        </w:rPr>
        <w:t xml:space="preserve">In </w:t>
      </w:r>
      <w:r>
        <w:rPr>
          <w:b/>
          <w:lang w:val="de-DE"/>
        </w:rPr>
        <w:t>DEUTSCHLAND</w:t>
      </w:r>
      <w:r>
        <w:rPr>
          <w:lang w:val="de-DE"/>
        </w:rPr>
        <w:t xml:space="preserve"> und in </w:t>
      </w:r>
      <w:r>
        <w:rPr>
          <w:b/>
          <w:lang w:val="de-DE"/>
        </w:rPr>
        <w:t>ÖSTERREICH</w:t>
      </w:r>
      <w:r>
        <w:rPr>
          <w:lang w:val="de-DE"/>
        </w:rPr>
        <w:t xml:space="preserve"> gibt es das Konzept der Implied Warranties oder Implied Guarantees, wie es in den </w:t>
      </w:r>
      <w:r>
        <w:rPr>
          <w:lang w:val="de-DE"/>
        </w:rPr>
        <w:t>beiden vorstehenden Sätzen dargelegt ist, nicht. Zur Vermeidung jeglicher Zweifel wird klargestellt, dass Ihre gesetzlichen Rechte nach deutschem bzw. österreichischem Recht hierdurch weder ausgeschlossen noch eingeschränkt werden.</w:t>
      </w:r>
    </w:p>
    <w:p w14:paraId="287ECCB9" w14:textId="77777777" w:rsidR="00FE6FB5" w:rsidRDefault="00815AC2">
      <w:pPr>
        <w:pStyle w:val="Heading1Warranty"/>
        <w:widowControl w:val="0"/>
        <w:rPr>
          <w:b/>
          <w:bCs/>
          <w:lang w:val="de-DE"/>
        </w:rPr>
      </w:pPr>
      <w:r>
        <w:rPr>
          <w:b/>
          <w:bCs/>
          <w:lang w:val="de-DE"/>
        </w:rPr>
        <w:t>BESCHRÄNKUNG UND AUSSCHL</w:t>
      </w:r>
      <w:r>
        <w:rPr>
          <w:b/>
          <w:bCs/>
          <w:lang w:val="de-DE"/>
        </w:rPr>
        <w:t>USS DES SCHADENERSATZES FÜR VERLETZUNGEN DER GARANTIE. Die oben stehende Klausel „Beschränkung und Ausschluss des Schadenersatzes“ gilt für Verletzungen dieser beschränkten Garantie.</w:t>
      </w:r>
    </w:p>
    <w:p w14:paraId="287ECCBA" w14:textId="77777777" w:rsidR="00FE6FB5" w:rsidRDefault="00815AC2">
      <w:pPr>
        <w:widowControl w:val="0"/>
        <w:rPr>
          <w:b/>
          <w:bCs/>
          <w:lang w:val="de-DE"/>
        </w:rPr>
      </w:pPr>
      <w:r>
        <w:rPr>
          <w:rStyle w:val="Body1Char"/>
          <w:b/>
          <w:bCs/>
          <w:lang w:val="de-DE"/>
        </w:rPr>
        <w:t>Diese Garantie gewährt Ihnen bestimmte Rechte; möglicherweise stehen Ihne</w:t>
      </w:r>
      <w:r>
        <w:rPr>
          <w:rStyle w:val="Body1Char"/>
          <w:b/>
          <w:bCs/>
          <w:lang w:val="de-DE"/>
        </w:rPr>
        <w:t>n je nach Bundesstaat weitergehende Rechte zu. Sie können auch von Land zu Land unterschiedliche weitergehende Rechte haben.</w:t>
      </w:r>
      <w:r>
        <w:rPr>
          <w:rStyle w:val="Body1Char"/>
          <w:b/>
          <w:bCs/>
          <w:lang w:val="de-DE"/>
        </w:rPr>
        <w:br/>
      </w:r>
      <w:r>
        <w:rPr>
          <w:rStyle w:val="Body1Char"/>
          <w:b/>
          <w:bCs/>
          <w:lang w:val="de-DE"/>
        </w:rPr>
        <w:br/>
        <w:t>In DEUTSCHLAND und in ÖSTERREICH werden die beiden vorstehenden Sätze folgendermaßen näher spezifiziert: Diese beschränkte Garanti</w:t>
      </w:r>
      <w:r>
        <w:rPr>
          <w:rStyle w:val="Body1Char"/>
          <w:b/>
          <w:bCs/>
          <w:lang w:val="de-DE"/>
        </w:rPr>
        <w:t>e verleiht Ihnen bestimmte Rechte zusätzlich zu Ihren gesetzlichen Rechten nach deutschem und österreichischem Recht.</w:t>
      </w:r>
    </w:p>
    <w:sectPr w:rsidR="00FE6FB5">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ECCBD" w14:textId="77777777" w:rsidR="00FE6FB5" w:rsidRDefault="00815AC2">
      <w:pPr>
        <w:rPr>
          <w:rFonts w:cs="Times New Roman"/>
        </w:rPr>
      </w:pPr>
      <w:r>
        <w:rPr>
          <w:rFonts w:cs="Times New Roman"/>
        </w:rPr>
        <w:separator/>
      </w:r>
    </w:p>
  </w:endnote>
  <w:endnote w:type="continuationSeparator" w:id="0">
    <w:p w14:paraId="287ECCBE" w14:textId="77777777" w:rsidR="00FE6FB5" w:rsidRDefault="00815A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ECCC1" w14:textId="77777777" w:rsidR="00FE6FB5" w:rsidRDefault="00FE6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ECCC2" w14:textId="77777777" w:rsidR="00FE6FB5" w:rsidRDefault="00FE6F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ECCC4" w14:textId="77777777" w:rsidR="00FE6FB5" w:rsidRDefault="00FE6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ECCBB" w14:textId="77777777" w:rsidR="00FE6FB5" w:rsidRDefault="00815AC2">
      <w:pPr>
        <w:rPr>
          <w:rFonts w:cs="Times New Roman"/>
        </w:rPr>
      </w:pPr>
      <w:r>
        <w:rPr>
          <w:rFonts w:cs="Times New Roman"/>
        </w:rPr>
        <w:separator/>
      </w:r>
    </w:p>
  </w:footnote>
  <w:footnote w:type="continuationSeparator" w:id="0">
    <w:p w14:paraId="287ECCBC" w14:textId="77777777" w:rsidR="00FE6FB5" w:rsidRDefault="00815AC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ECCBF" w14:textId="77777777" w:rsidR="00FE6FB5" w:rsidRDefault="00FE6FB5">
    <w:pPr>
      <w:pStyle w:val="Header"/>
    </w:pPr>
  </w:p>
  <w:sdt>
    <w:sdtPr>
      <w:id w:val="1192964860"/>
    </w:sdtPr>
    <w:sdtEndPr/>
    <w:sdtContent>
      <w:p w14:paraId="287ECCC9" w14:textId="77777777" w:rsidR="00000000" w:rsidRDefault="00815AC2"/>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ECCC0" w14:textId="77777777" w:rsidR="00FE6FB5" w:rsidRDefault="00FE6FB5">
    <w:pPr>
      <w:pStyle w:val="Header"/>
    </w:pPr>
  </w:p>
  <w:sdt>
    <w:sdtPr>
      <w:id w:val="-1749801605"/>
    </w:sdtPr>
    <w:sdtEndPr/>
    <w:sdtContent>
      <w:p w14:paraId="287ECCCA" w14:textId="77777777" w:rsidR="00000000" w:rsidRDefault="00815AC2"/>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ECCC3" w14:textId="77777777" w:rsidR="00FE6FB5" w:rsidRDefault="00FE6FB5">
    <w:pPr>
      <w:pStyle w:val="Header"/>
    </w:pPr>
  </w:p>
  <w:sdt>
    <w:sdtPr>
      <w:id w:val="-1137258518"/>
    </w:sdtPr>
    <w:sdtEndPr/>
    <w:sdtContent>
      <w:p w14:paraId="287ECCCD" w14:textId="77777777" w:rsidR="00000000" w:rsidRDefault="00815AC2"/>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7C52789"/>
    <w:multiLevelType w:val="multilevel"/>
    <w:tmpl w:val="82687348"/>
    <w:lvl w:ilvl="0">
      <w:start w:val="1"/>
      <w:numFmt w:val="decimal"/>
      <w:pStyle w:val="Heading1"/>
      <w:lvlText w:val="%1."/>
      <w:lvlJc w:val="left"/>
      <w:pPr>
        <w:tabs>
          <w:tab w:val="num" w:pos="360"/>
        </w:tabs>
        <w:ind w:left="357" w:hanging="357"/>
      </w:pPr>
      <w:rPr>
        <w:rFonts w:ascii="Tahoma" w:hAnsi="Tahoma" w:cs="Tahoma" w:hint="default"/>
        <w:b/>
        <w:bCs/>
        <w:i w:val="0"/>
        <w:iCs w:val="0"/>
        <w:color w:val="auto"/>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Bold"/>
      <w:lvlText w:val="%3."/>
      <w:lvlJc w:val="left"/>
      <w:pPr>
        <w:tabs>
          <w:tab w:val="num" w:pos="1440"/>
        </w:tabs>
        <w:ind w:left="1077" w:hanging="357"/>
      </w:pPr>
      <w:rPr>
        <w:rFonts w:ascii="Tahoma" w:eastAsia="MS Mincho" w:hAnsi="Tahoma" w:cs="Times New Roman"/>
        <w:b/>
        <w:bCs/>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3">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EDD4C9D"/>
    <w:multiLevelType w:val="hybridMultilevel"/>
    <w:tmpl w:val="BA86557C"/>
    <w:lvl w:ilvl="0" w:tplc="DC7889D2">
      <w:start w:val="1"/>
      <w:numFmt w:val="bullet"/>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nsid w:val="30561481"/>
    <w:multiLevelType w:val="hybridMultilevel"/>
    <w:tmpl w:val="EE525D8A"/>
    <w:lvl w:ilvl="0" w:tplc="04090001">
      <w:start w:val="1"/>
      <w:numFmt w:val="bullet"/>
      <w:pStyle w:val="Bullet8"/>
      <w:lvlText w:val=""/>
      <w:lvlJc w:val="left"/>
      <w:pPr>
        <w:tabs>
          <w:tab w:val="num" w:pos="2866"/>
        </w:tabs>
        <w:ind w:left="2863"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7664814"/>
    <w:multiLevelType w:val="hybridMultilevel"/>
    <w:tmpl w:val="CE6EF494"/>
    <w:lvl w:ilvl="0" w:tplc="04090003">
      <w:start w:val="1"/>
      <w:numFmt w:val="decimal"/>
      <w:pStyle w:val="Heading2FrenchWarranty"/>
      <w:lvlText w:val="%1."/>
      <w:lvlJc w:val="left"/>
      <w:pPr>
        <w:tabs>
          <w:tab w:val="num" w:pos="360"/>
        </w:tabs>
        <w:ind w:left="720" w:hanging="360"/>
      </w:pPr>
      <w:rPr>
        <w:rFonts w:cs="Times New Roman" w:hint="default"/>
        <w:b/>
        <w:bCs/>
        <w:i w:val="0"/>
        <w:iCs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7">
    <w:nsid w:val="48AF20BF"/>
    <w:multiLevelType w:val="hybridMultilevel"/>
    <w:tmpl w:val="93E2E814"/>
    <w:lvl w:ilvl="0" w:tplc="AB52E610">
      <w:start w:val="1"/>
      <w:numFmt w:val="bullet"/>
      <w:pStyle w:val="Bullet7"/>
      <w:lvlText w:val=""/>
      <w:lvlJc w:val="left"/>
      <w:pPr>
        <w:tabs>
          <w:tab w:val="num" w:pos="2509"/>
        </w:tabs>
        <w:ind w:left="2506"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
    <w:nsid w:val="5CF4435A"/>
    <w:multiLevelType w:val="hybridMultilevel"/>
    <w:tmpl w:val="FD88DB7A"/>
    <w:lvl w:ilvl="0" w:tplc="A232DBB2">
      <w:start w:val="1"/>
      <w:numFmt w:val="bullet"/>
      <w:pStyle w:val="Bullet4"/>
      <w:lvlText w:val=""/>
      <w:lvlJc w:val="left"/>
      <w:pPr>
        <w:tabs>
          <w:tab w:val="num" w:pos="1437"/>
        </w:tabs>
        <w:ind w:left="1435"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D706D6A"/>
    <w:multiLevelType w:val="hybridMultilevel"/>
    <w:tmpl w:val="D3AA996A"/>
    <w:lvl w:ilvl="0" w:tplc="B9EE6BD8">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AFE66A8"/>
    <w:multiLevelType w:val="hybridMultilevel"/>
    <w:tmpl w:val="F6C449C2"/>
    <w:lvl w:ilvl="0" w:tplc="BAB40A3C">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E2C692F"/>
    <w:multiLevelType w:val="hybridMultilevel"/>
    <w:tmpl w:val="5144F806"/>
    <w:lvl w:ilvl="0" w:tplc="DC7889D2">
      <w:start w:val="1"/>
      <w:numFmt w:val="bullet"/>
      <w:pStyle w:val="Bullet5"/>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6FEB5D14"/>
    <w:multiLevelType w:val="hybridMultilevel"/>
    <w:tmpl w:val="948EA042"/>
    <w:lvl w:ilvl="0" w:tplc="619624E4">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A770037"/>
    <w:multiLevelType w:val="hybridMultilevel"/>
    <w:tmpl w:val="46B4BC74"/>
    <w:lvl w:ilvl="0" w:tplc="5D84EF72">
      <w:start w:val="1"/>
      <w:numFmt w:val="bullet"/>
      <w:pStyle w:val="Bullet1"/>
      <w:lvlText w:val=""/>
      <w:lvlJc w:val="left"/>
      <w:pPr>
        <w:tabs>
          <w:tab w:val="num" w:pos="360"/>
        </w:tabs>
        <w:ind w:left="357" w:hanging="357"/>
      </w:pPr>
      <w:rPr>
        <w:rFonts w:ascii="Symbol" w:hAnsi="Symbol" w:hint="default"/>
      </w:rPr>
    </w:lvl>
    <w:lvl w:ilvl="1" w:tplc="08140019">
      <w:start w:val="1"/>
      <w:numFmt w:val="bullet"/>
      <w:lvlText w:val="o"/>
      <w:lvlJc w:val="left"/>
      <w:pPr>
        <w:tabs>
          <w:tab w:val="num" w:pos="1440"/>
        </w:tabs>
        <w:ind w:left="1440" w:hanging="360"/>
      </w:pPr>
      <w:rPr>
        <w:rFonts w:ascii="Courier New" w:hAnsi="Courier New" w:hint="default"/>
      </w:rPr>
    </w:lvl>
    <w:lvl w:ilvl="2" w:tplc="0814001B">
      <w:start w:val="1"/>
      <w:numFmt w:val="bullet"/>
      <w:lvlText w:val=""/>
      <w:lvlJc w:val="left"/>
      <w:pPr>
        <w:tabs>
          <w:tab w:val="num" w:pos="2160"/>
        </w:tabs>
        <w:ind w:left="2160" w:hanging="360"/>
      </w:pPr>
      <w:rPr>
        <w:rFonts w:ascii="Wingdings" w:hAnsi="Wingdings" w:hint="default"/>
      </w:rPr>
    </w:lvl>
    <w:lvl w:ilvl="3" w:tplc="0814000F">
      <w:start w:val="1"/>
      <w:numFmt w:val="bullet"/>
      <w:lvlText w:val=""/>
      <w:lvlJc w:val="left"/>
      <w:pPr>
        <w:tabs>
          <w:tab w:val="num" w:pos="2880"/>
        </w:tabs>
        <w:ind w:left="2880" w:hanging="360"/>
      </w:pPr>
      <w:rPr>
        <w:rFonts w:ascii="Symbol" w:hAnsi="Symbol" w:hint="default"/>
      </w:rPr>
    </w:lvl>
    <w:lvl w:ilvl="4" w:tplc="08140019">
      <w:start w:val="1"/>
      <w:numFmt w:val="bullet"/>
      <w:lvlText w:val="o"/>
      <w:lvlJc w:val="left"/>
      <w:pPr>
        <w:tabs>
          <w:tab w:val="num" w:pos="3600"/>
        </w:tabs>
        <w:ind w:left="3600" w:hanging="360"/>
      </w:pPr>
      <w:rPr>
        <w:rFonts w:ascii="Courier New" w:hAnsi="Courier New" w:hint="default"/>
      </w:rPr>
    </w:lvl>
    <w:lvl w:ilvl="5" w:tplc="0814001B">
      <w:start w:val="1"/>
      <w:numFmt w:val="bullet"/>
      <w:lvlText w:val=""/>
      <w:lvlJc w:val="left"/>
      <w:pPr>
        <w:tabs>
          <w:tab w:val="num" w:pos="4320"/>
        </w:tabs>
        <w:ind w:left="4320" w:hanging="360"/>
      </w:pPr>
      <w:rPr>
        <w:rFonts w:ascii="Wingdings" w:hAnsi="Wingdings" w:hint="default"/>
      </w:rPr>
    </w:lvl>
    <w:lvl w:ilvl="6" w:tplc="0814000F">
      <w:start w:val="1"/>
      <w:numFmt w:val="bullet"/>
      <w:lvlText w:val=""/>
      <w:lvlJc w:val="left"/>
      <w:pPr>
        <w:tabs>
          <w:tab w:val="num" w:pos="5040"/>
        </w:tabs>
        <w:ind w:left="5040" w:hanging="360"/>
      </w:pPr>
      <w:rPr>
        <w:rFonts w:ascii="Symbol" w:hAnsi="Symbol" w:hint="default"/>
      </w:rPr>
    </w:lvl>
    <w:lvl w:ilvl="7" w:tplc="08140019">
      <w:start w:val="1"/>
      <w:numFmt w:val="bullet"/>
      <w:lvlText w:val="o"/>
      <w:lvlJc w:val="left"/>
      <w:pPr>
        <w:tabs>
          <w:tab w:val="num" w:pos="5760"/>
        </w:tabs>
        <w:ind w:left="5760" w:hanging="360"/>
      </w:pPr>
      <w:rPr>
        <w:rFonts w:ascii="Courier New" w:hAnsi="Courier New" w:hint="default"/>
      </w:rPr>
    </w:lvl>
    <w:lvl w:ilvl="8" w:tplc="0814001B">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9"/>
  </w:num>
  <w:num w:numId="4">
    <w:abstractNumId w:val="8"/>
  </w:num>
  <w:num w:numId="5">
    <w:abstractNumId w:val="11"/>
  </w:num>
  <w:num w:numId="6">
    <w:abstractNumId w:val="12"/>
  </w:num>
  <w:num w:numId="7">
    <w:abstractNumId w:val="7"/>
  </w:num>
  <w:num w:numId="8">
    <w:abstractNumId w:val="5"/>
  </w:num>
  <w:num w:numId="9">
    <w:abstractNumId w:val="0"/>
  </w:num>
  <w:num w:numId="10">
    <w:abstractNumId w:val="2"/>
  </w:num>
  <w:num w:numId="11">
    <w:abstractNumId w:val="1"/>
  </w:num>
  <w:num w:numId="12">
    <w:abstractNumId w:val="10"/>
  </w:num>
  <w:num w:numId="13">
    <w:abstractNumId w:val="6"/>
  </w:num>
  <w:num w:numId="14">
    <w:abstractNumId w:val="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FB5"/>
    <w:rsid w:val="00815AC2"/>
    <w:rsid w:val="00FE6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E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20"/>
      <w:szCs w:val="20"/>
    </w:rPr>
  </w:style>
  <w:style w:type="paragraph" w:styleId="Heading1">
    <w:name w:val="heading 1"/>
    <w:basedOn w:val="Normal"/>
    <w:link w:val="Heading1Char"/>
    <w:uiPriority w:val="99"/>
    <w:qFormat/>
    <w:pPr>
      <w:numPr>
        <w:numId w:val="10"/>
      </w:numPr>
      <w:outlineLvl w:val="0"/>
    </w:pPr>
    <w:rPr>
      <w:b/>
      <w:bCs/>
    </w:rPr>
  </w:style>
  <w:style w:type="paragraph" w:styleId="Heading2">
    <w:name w:val="heading 2"/>
    <w:basedOn w:val="Normal"/>
    <w:link w:val="Heading2Char"/>
    <w:uiPriority w:val="99"/>
    <w:qFormat/>
    <w:pPr>
      <w:numPr>
        <w:ilvl w:val="1"/>
        <w:numId w:val="10"/>
      </w:numPr>
      <w:outlineLvl w:val="1"/>
    </w:pPr>
    <w:rPr>
      <w:b/>
      <w:bCs/>
    </w:rPr>
  </w:style>
  <w:style w:type="paragraph" w:styleId="Heading3">
    <w:name w:val="heading 3"/>
    <w:basedOn w:val="Normal"/>
    <w:link w:val="Heading3Char"/>
    <w:uiPriority w:val="99"/>
    <w:qFormat/>
    <w:pPr>
      <w:tabs>
        <w:tab w:val="left" w:pos="1077"/>
      </w:tabs>
      <w:outlineLvl w:val="2"/>
    </w:pPr>
  </w:style>
  <w:style w:type="paragraph" w:styleId="Heading4">
    <w:name w:val="heading 4"/>
    <w:basedOn w:val="Normal"/>
    <w:link w:val="Heading4Char"/>
    <w:uiPriority w:val="99"/>
    <w:qFormat/>
    <w:pPr>
      <w:numPr>
        <w:ilvl w:val="3"/>
        <w:numId w:val="10"/>
      </w:numPr>
      <w:outlineLvl w:val="3"/>
    </w:pPr>
  </w:style>
  <w:style w:type="paragraph" w:styleId="Heading5">
    <w:name w:val="heading 5"/>
    <w:basedOn w:val="Normal"/>
    <w:link w:val="Heading5Char"/>
    <w:uiPriority w:val="99"/>
    <w:qFormat/>
    <w:pPr>
      <w:numPr>
        <w:ilvl w:val="4"/>
        <w:numId w:val="10"/>
      </w:numPr>
      <w:tabs>
        <w:tab w:val="left" w:pos="1792"/>
      </w:tabs>
      <w:outlineLvl w:val="4"/>
    </w:pPr>
  </w:style>
  <w:style w:type="paragraph" w:styleId="Heading6">
    <w:name w:val="heading 6"/>
    <w:basedOn w:val="Normal"/>
    <w:link w:val="Heading6Char"/>
    <w:uiPriority w:val="99"/>
    <w:qFormat/>
    <w:pPr>
      <w:numPr>
        <w:ilvl w:val="5"/>
        <w:numId w:val="10"/>
      </w:numPr>
      <w:outlineLvl w:val="5"/>
    </w:pPr>
  </w:style>
  <w:style w:type="paragraph" w:styleId="Heading7">
    <w:name w:val="heading 7"/>
    <w:basedOn w:val="Normal"/>
    <w:link w:val="Heading7Char"/>
    <w:uiPriority w:val="99"/>
    <w:qFormat/>
    <w:pPr>
      <w:numPr>
        <w:ilvl w:val="6"/>
        <w:numId w:val="10"/>
      </w:numPr>
      <w:outlineLvl w:val="6"/>
    </w:pPr>
  </w:style>
  <w:style w:type="paragraph" w:styleId="Heading8">
    <w:name w:val="heading 8"/>
    <w:basedOn w:val="Normal"/>
    <w:link w:val="Heading8Char"/>
    <w:uiPriority w:val="99"/>
    <w:qFormat/>
    <w:pPr>
      <w:numPr>
        <w:ilvl w:val="7"/>
        <w:numId w:val="10"/>
      </w:numPr>
      <w:outlineLvl w:val="7"/>
    </w:pPr>
  </w:style>
  <w:style w:type="paragraph" w:styleId="Heading9">
    <w:name w:val="heading 9"/>
    <w:basedOn w:val="Normal"/>
    <w:link w:val="Heading9Char"/>
    <w:uiPriority w:val="99"/>
    <w:qFormat/>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ahoma" w:hAnsi="Tahoma" w:cs="Tahoma"/>
      <w:b/>
      <w:bCs/>
      <w:sz w:val="20"/>
      <w:szCs w:val="20"/>
    </w:rPr>
  </w:style>
  <w:style w:type="character" w:customStyle="1" w:styleId="Heading2Char">
    <w:name w:val="Heading 2 Char"/>
    <w:basedOn w:val="DefaultParagraphFont"/>
    <w:link w:val="Heading2"/>
    <w:uiPriority w:val="99"/>
    <w:locked/>
    <w:rPr>
      <w:rFonts w:ascii="Tahoma" w:hAnsi="Tahoma" w:cs="Tahoma"/>
      <w:b/>
      <w:bCs/>
      <w:sz w:val="20"/>
      <w:szCs w:val="20"/>
    </w:rPr>
  </w:style>
  <w:style w:type="character" w:customStyle="1" w:styleId="Bullet3Char1">
    <w:name w:val="Bullet 3 Char1"/>
    <w:basedOn w:val="DefaultParagraphFont"/>
    <w:link w:val="Bullet3"/>
    <w:uiPriority w:val="99"/>
    <w:locked/>
    <w:rPr>
      <w:rFonts w:ascii="Tahoma" w:hAnsi="Tahoma" w:cs="Tahoma"/>
      <w:sz w:val="20"/>
      <w:szCs w:val="20"/>
    </w:rPr>
  </w:style>
  <w:style w:type="character" w:customStyle="1" w:styleId="Heading4Char">
    <w:name w:val="Heading 4 Char"/>
    <w:basedOn w:val="DefaultParagraphFont"/>
    <w:link w:val="Heading4"/>
    <w:uiPriority w:val="99"/>
    <w:rPr>
      <w:rFonts w:ascii="Tahoma" w:hAnsi="Tahoma" w:cs="Tahoma"/>
      <w:sz w:val="20"/>
      <w:szCs w:val="20"/>
    </w:rPr>
  </w:style>
  <w:style w:type="character" w:customStyle="1" w:styleId="Heading5Char">
    <w:name w:val="Heading 5 Char"/>
    <w:basedOn w:val="DefaultParagraphFont"/>
    <w:link w:val="Heading5"/>
    <w:uiPriority w:val="99"/>
    <w:rPr>
      <w:rFonts w:ascii="Tahoma" w:hAnsi="Tahoma" w:cs="Tahoma"/>
      <w:sz w:val="20"/>
      <w:szCs w:val="20"/>
    </w:rPr>
  </w:style>
  <w:style w:type="character" w:customStyle="1" w:styleId="Heading6Char">
    <w:name w:val="Heading 6 Char"/>
    <w:basedOn w:val="DefaultParagraphFont"/>
    <w:link w:val="Heading6"/>
    <w:uiPriority w:val="99"/>
    <w:rPr>
      <w:rFonts w:ascii="Tahoma" w:hAnsi="Tahoma" w:cs="Tahoma"/>
      <w:sz w:val="20"/>
      <w:szCs w:val="20"/>
    </w:rPr>
  </w:style>
  <w:style w:type="character" w:customStyle="1" w:styleId="Heading7Char">
    <w:name w:val="Heading 7 Char"/>
    <w:basedOn w:val="DefaultParagraphFont"/>
    <w:link w:val="Heading7"/>
    <w:uiPriority w:val="99"/>
    <w:rPr>
      <w:rFonts w:ascii="Tahoma" w:hAnsi="Tahoma" w:cs="Tahoma"/>
      <w:sz w:val="20"/>
      <w:szCs w:val="20"/>
    </w:rPr>
  </w:style>
  <w:style w:type="character" w:customStyle="1" w:styleId="Heading8Char">
    <w:name w:val="Heading 8 Char"/>
    <w:basedOn w:val="DefaultParagraphFont"/>
    <w:link w:val="Heading8"/>
    <w:uiPriority w:val="99"/>
    <w:rPr>
      <w:rFonts w:ascii="Tahoma" w:hAnsi="Tahoma" w:cs="Tahoma"/>
      <w:sz w:val="20"/>
      <w:szCs w:val="20"/>
    </w:rPr>
  </w:style>
  <w:style w:type="character" w:customStyle="1" w:styleId="Heading9Char">
    <w:name w:val="Heading 9 Char"/>
    <w:basedOn w:val="DefaultParagraphFont"/>
    <w:link w:val="Heading9"/>
    <w:uiPriority w:val="99"/>
    <w:rPr>
      <w:rFonts w:ascii="Tahoma" w:hAnsi="Tahoma" w:cs="Tahoma"/>
      <w:sz w:val="20"/>
      <w:szCs w:val="20"/>
    </w:rPr>
  </w:style>
  <w:style w:type="paragraph" w:customStyle="1" w:styleId="Char">
    <w:name w:val="Char"/>
    <w:basedOn w:val="Normal"/>
    <w:uiPriority w:val="99"/>
    <w:pPr>
      <w:spacing w:before="0" w:after="160" w:line="240" w:lineRule="exact"/>
    </w:pPr>
  </w:style>
  <w:style w:type="character" w:customStyle="1" w:styleId="CharChar">
    <w:name w:val="Char Char"/>
    <w:basedOn w:val="DefaultParagraphFont"/>
    <w:uiPriority w:val="99"/>
    <w:locked/>
    <w:rPr>
      <w:rFonts w:ascii="Tahoma" w:hAnsi="Tahoma" w:cs="Tahoma"/>
      <w:sz w:val="26"/>
      <w:szCs w:val="26"/>
      <w:lang w:val="en-US" w:eastAsia="en-US"/>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basedOn w:val="DefaultParagraphFont"/>
    <w:uiPriority w:val="99"/>
    <w:locked/>
    <w:rPr>
      <w:rFonts w:ascii="Tahoma" w:hAnsi="Tahoma" w:cs="Tahoma"/>
      <w:lang w:val="en-US" w:eastAsia="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character" w:customStyle="1" w:styleId="Bullet3Char">
    <w:name w:val="Bullet 3 Char"/>
    <w:basedOn w:val="DefaultParagraphFont"/>
    <w:uiPriority w:val="99"/>
    <w:locked/>
    <w:rPr>
      <w:rFonts w:ascii="Tahoma" w:hAnsi="Tahoma" w:cs="Tahoma"/>
      <w:lang w:val="en-US" w:eastAsia="en-US"/>
    </w:rPr>
  </w:style>
  <w:style w:type="paragraph" w:customStyle="1" w:styleId="Bullet4">
    <w:name w:val="Bullet 4"/>
    <w:basedOn w:val="Normal"/>
    <w:uiPriority w:val="99"/>
    <w:pPr>
      <w:numPr>
        <w:numId w:val="4"/>
      </w:numPr>
    </w:pPr>
  </w:style>
  <w:style w:type="character" w:customStyle="1" w:styleId="Bullet4Char">
    <w:name w:val="Bullet 4 Char"/>
    <w:basedOn w:val="DefaultParagraphFont"/>
    <w:uiPriority w:val="99"/>
    <w:locked/>
    <w:rPr>
      <w:rFonts w:ascii="Tahoma" w:hAnsi="Tahoma" w:cs="Tahoma"/>
      <w:lang w:val="en-US" w:eastAsia="en-US"/>
    </w:r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basedOn w:val="DefaultParagraphFont"/>
    <w:uiPriority w:val="99"/>
    <w:locked/>
    <w:rPr>
      <w:rFonts w:ascii="Tahoma" w:hAnsi="Tahoma" w:cs="Tahoma"/>
      <w:b/>
      <w:bCs/>
      <w:lang w:val="en-US" w:eastAsia="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uiPriority w:val="99"/>
    <w:pPr>
      <w:numPr>
        <w:numId w:val="11"/>
      </w:numPr>
      <w:outlineLvl w:val="0"/>
    </w:pPr>
  </w:style>
  <w:style w:type="paragraph" w:customStyle="1" w:styleId="Heading2Warranty">
    <w:name w:val="Heading 2 Warranty"/>
    <w:basedOn w:val="Normal"/>
    <w:next w:val="Normal"/>
    <w:uiPriority w:val="99"/>
    <w:pPr>
      <w:numPr>
        <w:ilvl w:val="1"/>
        <w:numId w:val="11"/>
      </w:numPr>
      <w:outlineLvl w:val="1"/>
    </w:pPr>
  </w:style>
  <w:style w:type="paragraph" w:customStyle="1" w:styleId="Heading3Bold">
    <w:name w:val="Heading 3 Bold"/>
    <w:basedOn w:val="Heading3"/>
    <w:uiPriority w:val="99"/>
    <w:pPr>
      <w:numPr>
        <w:ilvl w:val="2"/>
        <w:numId w:val="10"/>
      </w:numPr>
    </w:pPr>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basedOn w:val="Bullet3Char"/>
    <w:uiPriority w:val="99"/>
    <w:locked/>
    <w:rPr>
      <w:rFonts w:ascii="Tahoma" w:hAnsi="Tahoma" w:cs="Tahoma"/>
      <w:u w:val="single"/>
      <w:lang w:val="en-US" w:eastAsia="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rPr>
      <w:u w:val="single"/>
    </w:rPr>
  </w:style>
  <w:style w:type="paragraph" w:customStyle="1" w:styleId="HeadingFrenchWarranty">
    <w:name w:val="Heading French Warranty"/>
    <w:basedOn w:val="Normal"/>
    <w:uiPriority w:val="99"/>
    <w:pPr>
      <w:numPr>
        <w:numId w:val="12"/>
      </w:numPr>
    </w:pPr>
  </w:style>
  <w:style w:type="paragraph" w:customStyle="1" w:styleId="Heading2FrenchWarranty">
    <w:name w:val="Heading 2 French Warranty"/>
    <w:basedOn w:val="Normal"/>
    <w:autoRedefine/>
    <w:uiPriority w:val="99"/>
    <w:pPr>
      <w:numPr>
        <w:numId w:val="13"/>
      </w:numPr>
    </w:p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basedOn w:val="DefaultParagraphFont"/>
    <w:uiPriority w:val="99"/>
    <w:locked/>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basedOn w:val="DefaultParagraphFont"/>
    <w:uiPriority w:val="99"/>
    <w:locked/>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eastAsia="MS PGothic" w:hAnsi="Trebuchet MS" w:cs="Trebuchet MS"/>
      <w:color w:val="000000"/>
      <w:sz w:val="18"/>
      <w:szCs w:val="18"/>
      <w:lang w:eastAsia="ja-JP"/>
    </w:rPr>
  </w:style>
  <w:style w:type="character" w:customStyle="1" w:styleId="exceptionbodyChar">
    <w:name w:val="exception body Char"/>
    <w:basedOn w:val="DefaultParagraphFont"/>
    <w:uiPriority w:val="99"/>
    <w:locked/>
    <w:rPr>
      <w:rFonts w:ascii="Trebuchet MS" w:eastAsia="MS PGothic" w:hAnsi="Trebuchet MS" w:cs="Trebuchet MS"/>
      <w:color w:val="000000"/>
      <w:sz w:val="18"/>
      <w:szCs w:val="18"/>
      <w:lang w:val="en-US" w:eastAsia="ja-JP"/>
    </w:rPr>
  </w:style>
  <w:style w:type="paragraph" w:customStyle="1" w:styleId="Bullet3Underline">
    <w:name w:val="Bullet 3 Underline"/>
    <w:basedOn w:val="Bullet3"/>
    <w:uiPriority w:val="99"/>
    <w:pPr>
      <w:numPr>
        <w:numId w:val="0"/>
      </w:numPr>
    </w:pPr>
    <w:rPr>
      <w:u w:val="single"/>
    </w:rPr>
  </w:style>
  <w:style w:type="paragraph" w:customStyle="1" w:styleId="Bullet4Underline">
    <w:name w:val="Bullet 4 Underline"/>
    <w:basedOn w:val="Bullet4"/>
    <w:uiPriority w:val="99"/>
    <w:pPr>
      <w:numPr>
        <w:numId w:val="0"/>
      </w:numPr>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rPr>
  </w:style>
  <w:style w:type="character" w:styleId="FootnoteReference">
    <w:name w:val="footnote reference"/>
    <w:basedOn w:val="DefaultParagraphFont"/>
    <w:uiPriority w:val="99"/>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pPr>
      <w:spacing w:before="0" w:after="0"/>
    </w:pPr>
    <w:rPr>
      <w:sz w:val="16"/>
      <w:szCs w:val="16"/>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paragraph" w:styleId="Header">
    <w:name w:val="header"/>
    <w:basedOn w:val="Normal"/>
    <w:link w:val="HeaderChar"/>
    <w:uiPriority w:val="99"/>
    <w:pPr>
      <w:tabs>
        <w:tab w:val="center" w:pos="4703"/>
        <w:tab w:val="right" w:pos="9406"/>
      </w:tabs>
    </w:pPr>
  </w:style>
  <w:style w:type="character" w:customStyle="1" w:styleId="HeaderChar">
    <w:name w:val="Header Char"/>
    <w:basedOn w:val="DefaultParagraphFont"/>
    <w:link w:val="Header"/>
    <w:uiPriority w:val="99"/>
    <w:semiHidden/>
    <w:rPr>
      <w:rFonts w:ascii="Tahoma" w:hAnsi="Tahoma" w:cs="Tahoma"/>
      <w:sz w:val="20"/>
      <w:szCs w:val="20"/>
    </w:rPr>
  </w:style>
  <w:style w:type="paragraph" w:styleId="Footer">
    <w:name w:val="footer"/>
    <w:basedOn w:val="Normal"/>
    <w:link w:val="FooterChar"/>
    <w:uiPriority w:val="99"/>
    <w:pPr>
      <w:tabs>
        <w:tab w:val="center" w:pos="4703"/>
        <w:tab w:val="right" w:pos="9406"/>
      </w:tabs>
    </w:pPr>
  </w:style>
  <w:style w:type="character" w:customStyle="1" w:styleId="FooterChar">
    <w:name w:val="Footer Char"/>
    <w:basedOn w:val="DefaultParagraphFont"/>
    <w:link w:val="Footer"/>
    <w:uiPriority w:val="99"/>
    <w:semiHidden/>
    <w:rPr>
      <w:rFonts w:ascii="Tahoma" w:hAnsi="Tahoma" w:cs="Tahoma"/>
      <w:sz w:val="20"/>
      <w:szCs w:val="20"/>
    </w:rPr>
  </w:style>
  <w:style w:type="character" w:styleId="FollowedHyperlink">
    <w:name w:val="FollowedHyperlink"/>
    <w:basedOn w:val="DefaultParagraphFont"/>
    <w:uiPriority w:val="99"/>
    <w:rPr>
      <w:rFonts w:cs="Times New Roman"/>
      <w:color w:val="800080"/>
      <w:u w:val="single"/>
    </w:rPr>
  </w:style>
  <w:style w:type="paragraph" w:customStyle="1" w:styleId="Heading1Unbold">
    <w:name w:val="Heading 1 Unbold"/>
    <w:basedOn w:val="Heading1"/>
    <w:uiPriority w:val="99"/>
    <w:pPr>
      <w:autoSpaceDE w:val="0"/>
      <w:autoSpaceDN w:val="0"/>
      <w:adjustRightInd w:val="0"/>
      <w:spacing w:before="0" w:after="0"/>
    </w:pPr>
    <w:rPr>
      <w:b w:val="0"/>
      <w:bCs w:val="0"/>
      <w:sz w:val="19"/>
      <w:szCs w:val="19"/>
    </w:rPr>
  </w:style>
  <w:style w:type="paragraph" w:customStyle="1" w:styleId="Body0Bold">
    <w:name w:val="Body 0 Bold"/>
    <w:next w:val="Normal"/>
    <w:uiPriority w:val="99"/>
    <w:pPr>
      <w:spacing w:after="0" w:line="240" w:lineRule="auto"/>
    </w:pPr>
    <w:rPr>
      <w:rFonts w:ascii="Tahoma" w:hAnsi="Tahoma" w:cs="Tahoma"/>
      <w:b/>
      <w:bCs/>
      <w:sz w:val="19"/>
      <w:szCs w:val="19"/>
    </w:rPr>
  </w:style>
  <w:style w:type="character" w:customStyle="1" w:styleId="Heading1WarrantyCharChar">
    <w:name w:val="Heading 1 Warranty Char Char"/>
    <w:basedOn w:val="DefaultParagraphFont"/>
    <w:uiPriority w:val="99"/>
    <w:locked/>
    <w:rPr>
      <w:rFonts w:ascii="Tahoma" w:eastAsia="MS Mincho" w:hAnsi="Tahoma" w:cs="Tahoma"/>
      <w:lang w:val="en-US" w:eastAsia="en-US"/>
    </w:rPr>
  </w:style>
  <w:style w:type="character" w:customStyle="1" w:styleId="Heading2FrenchWarrantyChar">
    <w:name w:val="Heading 2 French Warranty Char"/>
    <w:basedOn w:val="DefaultParagraphFont"/>
    <w:uiPriority w:val="99"/>
    <w:locked/>
    <w:rPr>
      <w:rFonts w:ascii="Tahoma" w:eastAsia="MS Mincho" w:hAnsi="Tahoma" w:cs="Tahoma"/>
      <w:lang w:val="en-US" w:eastAsia="en-US"/>
    </w:rPr>
  </w:style>
  <w:style w:type="character" w:customStyle="1" w:styleId="Heading1UnboldChar">
    <w:name w:val="Heading 1 Unbold Char"/>
    <w:basedOn w:val="Heading1Char"/>
    <w:uiPriority w:val="99"/>
    <w:locked/>
    <w:rPr>
      <w:rFonts w:ascii="Tahoma" w:hAnsi="Tahoma" w:cs="Tahoma"/>
      <w:b/>
      <w:bCs/>
      <w:sz w:val="19"/>
      <w:szCs w:val="19"/>
    </w:rPr>
  </w:style>
  <w:style w:type="character" w:customStyle="1" w:styleId="Body0BoldChar">
    <w:name w:val="Body 0 Bold Char"/>
    <w:basedOn w:val="DefaultParagraphFont"/>
    <w:uiPriority w:val="99"/>
    <w:rPr>
      <w:rFonts w:ascii="Tahoma" w:eastAsia="MS Mincho" w:hAnsi="Tahoma" w:cs="Tahoma"/>
      <w:b/>
      <w:bCs/>
      <w:sz w:val="19"/>
      <w:szCs w:val="19"/>
      <w:lang w:val="en-US" w:eastAsia="en-US"/>
    </w:rPr>
  </w:style>
  <w:style w:type="character" w:customStyle="1" w:styleId="Body1Char">
    <w:name w:val="Body 1 Char"/>
    <w:basedOn w:val="DefaultParagraphFont"/>
    <w:uiPriority w:val="99"/>
    <w:rPr>
      <w:rFonts w:ascii="Tahoma" w:eastAsia="MS Mincho" w:hAnsi="Tahoma" w:cs="Tahoma"/>
      <w:lang w:val="en-US"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ahoma" w:hAnsi="Tahoma" w:cs="Tahoma"/>
      <w:lang w:eastAsia="en-US"/>
    </w:rPr>
  </w:style>
  <w:style w:type="character" w:customStyle="1" w:styleId="CommentTextChar">
    <w:name w:val="Comment Text Char"/>
    <w:basedOn w:val="DefaultParagraphFont"/>
    <w:link w:val="CommentText"/>
    <w:uiPriority w:val="99"/>
    <w:semiHidden/>
    <w:locked/>
    <w:rPr>
      <w:rFonts w:ascii="Tahoma" w:hAnsi="Tahoma" w:cs="Tahoma"/>
      <w:lang w:eastAsia="en-US"/>
    </w:rPr>
  </w:style>
  <w:style w:type="character" w:customStyle="1" w:styleId="Heading3Char">
    <w:name w:val="Heading 3 Char"/>
    <w:basedOn w:val="DefaultParagraphFont"/>
    <w:link w:val="Heading3"/>
    <w:uiPriority w:val="99"/>
    <w:locked/>
    <w:rPr>
      <w:rFonts w:ascii="Tahoma" w:hAnsi="Tahoma" w:cs="Tahoma"/>
      <w:lang w:eastAsia="en-US"/>
    </w:rPr>
  </w:style>
  <w:style w:type="character" w:customStyle="1" w:styleId="BalloonTextChar">
    <w:name w:val="Balloon Text Char"/>
    <w:basedOn w:val="DefaultParagraphFont"/>
    <w:link w:val="BalloonText"/>
    <w:uiPriority w:val="99"/>
    <w:locked/>
    <w:rPr>
      <w:rFonts w:ascii="Tahoma" w:hAnsi="Tahoma" w:cs="Tahoma"/>
      <w:sz w:val="16"/>
      <w:szCs w:val="16"/>
      <w:lang w:eastAsia="en-US"/>
    </w:rPr>
  </w:style>
  <w:style w:type="paragraph" w:customStyle="1" w:styleId="LIMPAT4WINEXTERNAL">
    <w:name w:val="LIMPA_T4WINEXTERNAL"/>
    <w:basedOn w:val="Normal"/>
    <w:link w:val="LIMPAT4WINEXTERNALChar"/>
    <w:uiPriority w:val="99"/>
    <w:pPr>
      <w:spacing w:before="0" w:after="0"/>
    </w:pPr>
    <w:rPr>
      <w:b/>
      <w:bCs/>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vertAlign w:val="superscript"/>
      <w:lang w:val="bg-BG"/>
    </w:rPr>
  </w:style>
  <w:style w:type="paragraph" w:styleId="Revision">
    <w:name w:val="Revision"/>
    <w:hidden/>
    <w:uiPriority w:val="99"/>
    <w:semiHidden/>
    <w:pPr>
      <w:spacing w:after="0" w:line="240" w:lineRule="auto"/>
    </w:pPr>
    <w:rPr>
      <w:rFonts w:ascii="Tahoma" w:hAnsi="Tahoma" w:cs="Tahoma"/>
      <w:sz w:val="20"/>
      <w:szCs w:val="20"/>
    </w:rPr>
  </w:style>
  <w:style w:type="character" w:customStyle="1" w:styleId="Body1Char1">
    <w:name w:val="Body 1 Char1"/>
    <w:basedOn w:val="DefaultParagraphFont"/>
    <w:link w:val="Body1"/>
    <w:uiPriority w:val="99"/>
    <w:locked/>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20"/>
      <w:szCs w:val="20"/>
    </w:rPr>
  </w:style>
  <w:style w:type="paragraph" w:styleId="Heading1">
    <w:name w:val="heading 1"/>
    <w:basedOn w:val="Normal"/>
    <w:link w:val="Heading1Char"/>
    <w:uiPriority w:val="99"/>
    <w:qFormat/>
    <w:pPr>
      <w:numPr>
        <w:numId w:val="10"/>
      </w:numPr>
      <w:outlineLvl w:val="0"/>
    </w:pPr>
    <w:rPr>
      <w:b/>
      <w:bCs/>
    </w:rPr>
  </w:style>
  <w:style w:type="paragraph" w:styleId="Heading2">
    <w:name w:val="heading 2"/>
    <w:basedOn w:val="Normal"/>
    <w:link w:val="Heading2Char"/>
    <w:uiPriority w:val="99"/>
    <w:qFormat/>
    <w:pPr>
      <w:numPr>
        <w:ilvl w:val="1"/>
        <w:numId w:val="10"/>
      </w:numPr>
      <w:outlineLvl w:val="1"/>
    </w:pPr>
    <w:rPr>
      <w:b/>
      <w:bCs/>
    </w:rPr>
  </w:style>
  <w:style w:type="paragraph" w:styleId="Heading3">
    <w:name w:val="heading 3"/>
    <w:basedOn w:val="Normal"/>
    <w:link w:val="Heading3Char"/>
    <w:uiPriority w:val="99"/>
    <w:qFormat/>
    <w:pPr>
      <w:tabs>
        <w:tab w:val="left" w:pos="1077"/>
      </w:tabs>
      <w:outlineLvl w:val="2"/>
    </w:pPr>
  </w:style>
  <w:style w:type="paragraph" w:styleId="Heading4">
    <w:name w:val="heading 4"/>
    <w:basedOn w:val="Normal"/>
    <w:link w:val="Heading4Char"/>
    <w:uiPriority w:val="99"/>
    <w:qFormat/>
    <w:pPr>
      <w:numPr>
        <w:ilvl w:val="3"/>
        <w:numId w:val="10"/>
      </w:numPr>
      <w:outlineLvl w:val="3"/>
    </w:pPr>
  </w:style>
  <w:style w:type="paragraph" w:styleId="Heading5">
    <w:name w:val="heading 5"/>
    <w:basedOn w:val="Normal"/>
    <w:link w:val="Heading5Char"/>
    <w:uiPriority w:val="99"/>
    <w:qFormat/>
    <w:pPr>
      <w:numPr>
        <w:ilvl w:val="4"/>
        <w:numId w:val="10"/>
      </w:numPr>
      <w:tabs>
        <w:tab w:val="left" w:pos="1792"/>
      </w:tabs>
      <w:outlineLvl w:val="4"/>
    </w:pPr>
  </w:style>
  <w:style w:type="paragraph" w:styleId="Heading6">
    <w:name w:val="heading 6"/>
    <w:basedOn w:val="Normal"/>
    <w:link w:val="Heading6Char"/>
    <w:uiPriority w:val="99"/>
    <w:qFormat/>
    <w:pPr>
      <w:numPr>
        <w:ilvl w:val="5"/>
        <w:numId w:val="10"/>
      </w:numPr>
      <w:outlineLvl w:val="5"/>
    </w:pPr>
  </w:style>
  <w:style w:type="paragraph" w:styleId="Heading7">
    <w:name w:val="heading 7"/>
    <w:basedOn w:val="Normal"/>
    <w:link w:val="Heading7Char"/>
    <w:uiPriority w:val="99"/>
    <w:qFormat/>
    <w:pPr>
      <w:numPr>
        <w:ilvl w:val="6"/>
        <w:numId w:val="10"/>
      </w:numPr>
      <w:outlineLvl w:val="6"/>
    </w:pPr>
  </w:style>
  <w:style w:type="paragraph" w:styleId="Heading8">
    <w:name w:val="heading 8"/>
    <w:basedOn w:val="Normal"/>
    <w:link w:val="Heading8Char"/>
    <w:uiPriority w:val="99"/>
    <w:qFormat/>
    <w:pPr>
      <w:numPr>
        <w:ilvl w:val="7"/>
        <w:numId w:val="10"/>
      </w:numPr>
      <w:outlineLvl w:val="7"/>
    </w:pPr>
  </w:style>
  <w:style w:type="paragraph" w:styleId="Heading9">
    <w:name w:val="heading 9"/>
    <w:basedOn w:val="Normal"/>
    <w:link w:val="Heading9Char"/>
    <w:uiPriority w:val="99"/>
    <w:qFormat/>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ahoma" w:hAnsi="Tahoma" w:cs="Tahoma"/>
      <w:b/>
      <w:bCs/>
      <w:sz w:val="20"/>
      <w:szCs w:val="20"/>
    </w:rPr>
  </w:style>
  <w:style w:type="character" w:customStyle="1" w:styleId="Heading2Char">
    <w:name w:val="Heading 2 Char"/>
    <w:basedOn w:val="DefaultParagraphFont"/>
    <w:link w:val="Heading2"/>
    <w:uiPriority w:val="99"/>
    <w:locked/>
    <w:rPr>
      <w:rFonts w:ascii="Tahoma" w:hAnsi="Tahoma" w:cs="Tahoma"/>
      <w:b/>
      <w:bCs/>
      <w:sz w:val="20"/>
      <w:szCs w:val="20"/>
    </w:rPr>
  </w:style>
  <w:style w:type="character" w:customStyle="1" w:styleId="Bullet3Char1">
    <w:name w:val="Bullet 3 Char1"/>
    <w:basedOn w:val="DefaultParagraphFont"/>
    <w:link w:val="Bullet3"/>
    <w:uiPriority w:val="99"/>
    <w:locked/>
    <w:rPr>
      <w:rFonts w:ascii="Tahoma" w:hAnsi="Tahoma" w:cs="Tahoma"/>
      <w:sz w:val="20"/>
      <w:szCs w:val="20"/>
    </w:rPr>
  </w:style>
  <w:style w:type="character" w:customStyle="1" w:styleId="Heading4Char">
    <w:name w:val="Heading 4 Char"/>
    <w:basedOn w:val="DefaultParagraphFont"/>
    <w:link w:val="Heading4"/>
    <w:uiPriority w:val="99"/>
    <w:rPr>
      <w:rFonts w:ascii="Tahoma" w:hAnsi="Tahoma" w:cs="Tahoma"/>
      <w:sz w:val="20"/>
      <w:szCs w:val="20"/>
    </w:rPr>
  </w:style>
  <w:style w:type="character" w:customStyle="1" w:styleId="Heading5Char">
    <w:name w:val="Heading 5 Char"/>
    <w:basedOn w:val="DefaultParagraphFont"/>
    <w:link w:val="Heading5"/>
    <w:uiPriority w:val="99"/>
    <w:rPr>
      <w:rFonts w:ascii="Tahoma" w:hAnsi="Tahoma" w:cs="Tahoma"/>
      <w:sz w:val="20"/>
      <w:szCs w:val="20"/>
    </w:rPr>
  </w:style>
  <w:style w:type="character" w:customStyle="1" w:styleId="Heading6Char">
    <w:name w:val="Heading 6 Char"/>
    <w:basedOn w:val="DefaultParagraphFont"/>
    <w:link w:val="Heading6"/>
    <w:uiPriority w:val="99"/>
    <w:rPr>
      <w:rFonts w:ascii="Tahoma" w:hAnsi="Tahoma" w:cs="Tahoma"/>
      <w:sz w:val="20"/>
      <w:szCs w:val="20"/>
    </w:rPr>
  </w:style>
  <w:style w:type="character" w:customStyle="1" w:styleId="Heading7Char">
    <w:name w:val="Heading 7 Char"/>
    <w:basedOn w:val="DefaultParagraphFont"/>
    <w:link w:val="Heading7"/>
    <w:uiPriority w:val="99"/>
    <w:rPr>
      <w:rFonts w:ascii="Tahoma" w:hAnsi="Tahoma" w:cs="Tahoma"/>
      <w:sz w:val="20"/>
      <w:szCs w:val="20"/>
    </w:rPr>
  </w:style>
  <w:style w:type="character" w:customStyle="1" w:styleId="Heading8Char">
    <w:name w:val="Heading 8 Char"/>
    <w:basedOn w:val="DefaultParagraphFont"/>
    <w:link w:val="Heading8"/>
    <w:uiPriority w:val="99"/>
    <w:rPr>
      <w:rFonts w:ascii="Tahoma" w:hAnsi="Tahoma" w:cs="Tahoma"/>
      <w:sz w:val="20"/>
      <w:szCs w:val="20"/>
    </w:rPr>
  </w:style>
  <w:style w:type="character" w:customStyle="1" w:styleId="Heading9Char">
    <w:name w:val="Heading 9 Char"/>
    <w:basedOn w:val="DefaultParagraphFont"/>
    <w:link w:val="Heading9"/>
    <w:uiPriority w:val="99"/>
    <w:rPr>
      <w:rFonts w:ascii="Tahoma" w:hAnsi="Tahoma" w:cs="Tahoma"/>
      <w:sz w:val="20"/>
      <w:szCs w:val="20"/>
    </w:rPr>
  </w:style>
  <w:style w:type="paragraph" w:customStyle="1" w:styleId="Char">
    <w:name w:val="Char"/>
    <w:basedOn w:val="Normal"/>
    <w:uiPriority w:val="99"/>
    <w:pPr>
      <w:spacing w:before="0" w:after="160" w:line="240" w:lineRule="exact"/>
    </w:pPr>
  </w:style>
  <w:style w:type="character" w:customStyle="1" w:styleId="CharChar">
    <w:name w:val="Char Char"/>
    <w:basedOn w:val="DefaultParagraphFont"/>
    <w:uiPriority w:val="99"/>
    <w:locked/>
    <w:rPr>
      <w:rFonts w:ascii="Tahoma" w:hAnsi="Tahoma" w:cs="Tahoma"/>
      <w:sz w:val="26"/>
      <w:szCs w:val="26"/>
      <w:lang w:val="en-US" w:eastAsia="en-US"/>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basedOn w:val="DefaultParagraphFont"/>
    <w:uiPriority w:val="99"/>
    <w:locked/>
    <w:rPr>
      <w:rFonts w:ascii="Tahoma" w:hAnsi="Tahoma" w:cs="Tahoma"/>
      <w:lang w:val="en-US" w:eastAsia="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character" w:customStyle="1" w:styleId="Bullet3Char">
    <w:name w:val="Bullet 3 Char"/>
    <w:basedOn w:val="DefaultParagraphFont"/>
    <w:uiPriority w:val="99"/>
    <w:locked/>
    <w:rPr>
      <w:rFonts w:ascii="Tahoma" w:hAnsi="Tahoma" w:cs="Tahoma"/>
      <w:lang w:val="en-US" w:eastAsia="en-US"/>
    </w:rPr>
  </w:style>
  <w:style w:type="paragraph" w:customStyle="1" w:styleId="Bullet4">
    <w:name w:val="Bullet 4"/>
    <w:basedOn w:val="Normal"/>
    <w:uiPriority w:val="99"/>
    <w:pPr>
      <w:numPr>
        <w:numId w:val="4"/>
      </w:numPr>
    </w:pPr>
  </w:style>
  <w:style w:type="character" w:customStyle="1" w:styleId="Bullet4Char">
    <w:name w:val="Bullet 4 Char"/>
    <w:basedOn w:val="DefaultParagraphFont"/>
    <w:uiPriority w:val="99"/>
    <w:locked/>
    <w:rPr>
      <w:rFonts w:ascii="Tahoma" w:hAnsi="Tahoma" w:cs="Tahoma"/>
      <w:lang w:val="en-US" w:eastAsia="en-US"/>
    </w:r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basedOn w:val="DefaultParagraphFont"/>
    <w:uiPriority w:val="99"/>
    <w:locked/>
    <w:rPr>
      <w:rFonts w:ascii="Tahoma" w:hAnsi="Tahoma" w:cs="Tahoma"/>
      <w:b/>
      <w:bCs/>
      <w:lang w:val="en-US" w:eastAsia="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uiPriority w:val="99"/>
    <w:pPr>
      <w:numPr>
        <w:numId w:val="11"/>
      </w:numPr>
      <w:outlineLvl w:val="0"/>
    </w:pPr>
  </w:style>
  <w:style w:type="paragraph" w:customStyle="1" w:styleId="Heading2Warranty">
    <w:name w:val="Heading 2 Warranty"/>
    <w:basedOn w:val="Normal"/>
    <w:next w:val="Normal"/>
    <w:uiPriority w:val="99"/>
    <w:pPr>
      <w:numPr>
        <w:ilvl w:val="1"/>
        <w:numId w:val="11"/>
      </w:numPr>
      <w:outlineLvl w:val="1"/>
    </w:pPr>
  </w:style>
  <w:style w:type="paragraph" w:customStyle="1" w:styleId="Heading3Bold">
    <w:name w:val="Heading 3 Bold"/>
    <w:basedOn w:val="Heading3"/>
    <w:uiPriority w:val="99"/>
    <w:pPr>
      <w:numPr>
        <w:ilvl w:val="2"/>
        <w:numId w:val="10"/>
      </w:numPr>
    </w:pPr>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basedOn w:val="Bullet3Char"/>
    <w:uiPriority w:val="99"/>
    <w:locked/>
    <w:rPr>
      <w:rFonts w:ascii="Tahoma" w:hAnsi="Tahoma" w:cs="Tahoma"/>
      <w:u w:val="single"/>
      <w:lang w:val="en-US" w:eastAsia="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rPr>
      <w:u w:val="single"/>
    </w:rPr>
  </w:style>
  <w:style w:type="paragraph" w:customStyle="1" w:styleId="HeadingFrenchWarranty">
    <w:name w:val="Heading French Warranty"/>
    <w:basedOn w:val="Normal"/>
    <w:uiPriority w:val="99"/>
    <w:pPr>
      <w:numPr>
        <w:numId w:val="12"/>
      </w:numPr>
    </w:pPr>
  </w:style>
  <w:style w:type="paragraph" w:customStyle="1" w:styleId="Heading2FrenchWarranty">
    <w:name w:val="Heading 2 French Warranty"/>
    <w:basedOn w:val="Normal"/>
    <w:autoRedefine/>
    <w:uiPriority w:val="99"/>
    <w:pPr>
      <w:numPr>
        <w:numId w:val="13"/>
      </w:numPr>
    </w:p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basedOn w:val="DefaultParagraphFont"/>
    <w:uiPriority w:val="99"/>
    <w:locked/>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basedOn w:val="DefaultParagraphFont"/>
    <w:uiPriority w:val="99"/>
    <w:locked/>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eastAsia="MS PGothic" w:hAnsi="Trebuchet MS" w:cs="Trebuchet MS"/>
      <w:color w:val="000000"/>
      <w:sz w:val="18"/>
      <w:szCs w:val="18"/>
      <w:lang w:eastAsia="ja-JP"/>
    </w:rPr>
  </w:style>
  <w:style w:type="character" w:customStyle="1" w:styleId="exceptionbodyChar">
    <w:name w:val="exception body Char"/>
    <w:basedOn w:val="DefaultParagraphFont"/>
    <w:uiPriority w:val="99"/>
    <w:locked/>
    <w:rPr>
      <w:rFonts w:ascii="Trebuchet MS" w:eastAsia="MS PGothic" w:hAnsi="Trebuchet MS" w:cs="Trebuchet MS"/>
      <w:color w:val="000000"/>
      <w:sz w:val="18"/>
      <w:szCs w:val="18"/>
      <w:lang w:val="en-US" w:eastAsia="ja-JP"/>
    </w:rPr>
  </w:style>
  <w:style w:type="paragraph" w:customStyle="1" w:styleId="Bullet3Underline">
    <w:name w:val="Bullet 3 Underline"/>
    <w:basedOn w:val="Bullet3"/>
    <w:uiPriority w:val="99"/>
    <w:pPr>
      <w:numPr>
        <w:numId w:val="0"/>
      </w:numPr>
    </w:pPr>
    <w:rPr>
      <w:u w:val="single"/>
    </w:rPr>
  </w:style>
  <w:style w:type="paragraph" w:customStyle="1" w:styleId="Bullet4Underline">
    <w:name w:val="Bullet 4 Underline"/>
    <w:basedOn w:val="Bullet4"/>
    <w:uiPriority w:val="99"/>
    <w:pPr>
      <w:numPr>
        <w:numId w:val="0"/>
      </w:numPr>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rPr>
  </w:style>
  <w:style w:type="character" w:styleId="FootnoteReference">
    <w:name w:val="footnote reference"/>
    <w:basedOn w:val="DefaultParagraphFont"/>
    <w:uiPriority w:val="99"/>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pPr>
      <w:spacing w:before="0" w:after="0"/>
    </w:pPr>
    <w:rPr>
      <w:sz w:val="16"/>
      <w:szCs w:val="16"/>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paragraph" w:styleId="Header">
    <w:name w:val="header"/>
    <w:basedOn w:val="Normal"/>
    <w:link w:val="HeaderChar"/>
    <w:uiPriority w:val="99"/>
    <w:pPr>
      <w:tabs>
        <w:tab w:val="center" w:pos="4703"/>
        <w:tab w:val="right" w:pos="9406"/>
      </w:tabs>
    </w:pPr>
  </w:style>
  <w:style w:type="character" w:customStyle="1" w:styleId="HeaderChar">
    <w:name w:val="Header Char"/>
    <w:basedOn w:val="DefaultParagraphFont"/>
    <w:link w:val="Header"/>
    <w:uiPriority w:val="99"/>
    <w:semiHidden/>
    <w:rPr>
      <w:rFonts w:ascii="Tahoma" w:hAnsi="Tahoma" w:cs="Tahoma"/>
      <w:sz w:val="20"/>
      <w:szCs w:val="20"/>
    </w:rPr>
  </w:style>
  <w:style w:type="paragraph" w:styleId="Footer">
    <w:name w:val="footer"/>
    <w:basedOn w:val="Normal"/>
    <w:link w:val="FooterChar"/>
    <w:uiPriority w:val="99"/>
    <w:pPr>
      <w:tabs>
        <w:tab w:val="center" w:pos="4703"/>
        <w:tab w:val="right" w:pos="9406"/>
      </w:tabs>
    </w:pPr>
  </w:style>
  <w:style w:type="character" w:customStyle="1" w:styleId="FooterChar">
    <w:name w:val="Footer Char"/>
    <w:basedOn w:val="DefaultParagraphFont"/>
    <w:link w:val="Footer"/>
    <w:uiPriority w:val="99"/>
    <w:semiHidden/>
    <w:rPr>
      <w:rFonts w:ascii="Tahoma" w:hAnsi="Tahoma" w:cs="Tahoma"/>
      <w:sz w:val="20"/>
      <w:szCs w:val="20"/>
    </w:rPr>
  </w:style>
  <w:style w:type="character" w:styleId="FollowedHyperlink">
    <w:name w:val="FollowedHyperlink"/>
    <w:basedOn w:val="DefaultParagraphFont"/>
    <w:uiPriority w:val="99"/>
    <w:rPr>
      <w:rFonts w:cs="Times New Roman"/>
      <w:color w:val="800080"/>
      <w:u w:val="single"/>
    </w:rPr>
  </w:style>
  <w:style w:type="paragraph" w:customStyle="1" w:styleId="Heading1Unbold">
    <w:name w:val="Heading 1 Unbold"/>
    <w:basedOn w:val="Heading1"/>
    <w:uiPriority w:val="99"/>
    <w:pPr>
      <w:autoSpaceDE w:val="0"/>
      <w:autoSpaceDN w:val="0"/>
      <w:adjustRightInd w:val="0"/>
      <w:spacing w:before="0" w:after="0"/>
    </w:pPr>
    <w:rPr>
      <w:b w:val="0"/>
      <w:bCs w:val="0"/>
      <w:sz w:val="19"/>
      <w:szCs w:val="19"/>
    </w:rPr>
  </w:style>
  <w:style w:type="paragraph" w:customStyle="1" w:styleId="Body0Bold">
    <w:name w:val="Body 0 Bold"/>
    <w:next w:val="Normal"/>
    <w:uiPriority w:val="99"/>
    <w:pPr>
      <w:spacing w:after="0" w:line="240" w:lineRule="auto"/>
    </w:pPr>
    <w:rPr>
      <w:rFonts w:ascii="Tahoma" w:hAnsi="Tahoma" w:cs="Tahoma"/>
      <w:b/>
      <w:bCs/>
      <w:sz w:val="19"/>
      <w:szCs w:val="19"/>
    </w:rPr>
  </w:style>
  <w:style w:type="character" w:customStyle="1" w:styleId="Heading1WarrantyCharChar">
    <w:name w:val="Heading 1 Warranty Char Char"/>
    <w:basedOn w:val="DefaultParagraphFont"/>
    <w:uiPriority w:val="99"/>
    <w:locked/>
    <w:rPr>
      <w:rFonts w:ascii="Tahoma" w:eastAsia="MS Mincho" w:hAnsi="Tahoma" w:cs="Tahoma"/>
      <w:lang w:val="en-US" w:eastAsia="en-US"/>
    </w:rPr>
  </w:style>
  <w:style w:type="character" w:customStyle="1" w:styleId="Heading2FrenchWarrantyChar">
    <w:name w:val="Heading 2 French Warranty Char"/>
    <w:basedOn w:val="DefaultParagraphFont"/>
    <w:uiPriority w:val="99"/>
    <w:locked/>
    <w:rPr>
      <w:rFonts w:ascii="Tahoma" w:eastAsia="MS Mincho" w:hAnsi="Tahoma" w:cs="Tahoma"/>
      <w:lang w:val="en-US" w:eastAsia="en-US"/>
    </w:rPr>
  </w:style>
  <w:style w:type="character" w:customStyle="1" w:styleId="Heading1UnboldChar">
    <w:name w:val="Heading 1 Unbold Char"/>
    <w:basedOn w:val="Heading1Char"/>
    <w:uiPriority w:val="99"/>
    <w:locked/>
    <w:rPr>
      <w:rFonts w:ascii="Tahoma" w:hAnsi="Tahoma" w:cs="Tahoma"/>
      <w:b/>
      <w:bCs/>
      <w:sz w:val="19"/>
      <w:szCs w:val="19"/>
    </w:rPr>
  </w:style>
  <w:style w:type="character" w:customStyle="1" w:styleId="Body0BoldChar">
    <w:name w:val="Body 0 Bold Char"/>
    <w:basedOn w:val="DefaultParagraphFont"/>
    <w:uiPriority w:val="99"/>
    <w:rPr>
      <w:rFonts w:ascii="Tahoma" w:eastAsia="MS Mincho" w:hAnsi="Tahoma" w:cs="Tahoma"/>
      <w:b/>
      <w:bCs/>
      <w:sz w:val="19"/>
      <w:szCs w:val="19"/>
      <w:lang w:val="en-US" w:eastAsia="en-US"/>
    </w:rPr>
  </w:style>
  <w:style w:type="character" w:customStyle="1" w:styleId="Body1Char">
    <w:name w:val="Body 1 Char"/>
    <w:basedOn w:val="DefaultParagraphFont"/>
    <w:uiPriority w:val="99"/>
    <w:rPr>
      <w:rFonts w:ascii="Tahoma" w:eastAsia="MS Mincho" w:hAnsi="Tahoma" w:cs="Tahoma"/>
      <w:lang w:val="en-US"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ahoma" w:hAnsi="Tahoma" w:cs="Tahoma"/>
      <w:lang w:eastAsia="en-US"/>
    </w:rPr>
  </w:style>
  <w:style w:type="character" w:customStyle="1" w:styleId="CommentTextChar">
    <w:name w:val="Comment Text Char"/>
    <w:basedOn w:val="DefaultParagraphFont"/>
    <w:link w:val="CommentText"/>
    <w:uiPriority w:val="99"/>
    <w:semiHidden/>
    <w:locked/>
    <w:rPr>
      <w:rFonts w:ascii="Tahoma" w:hAnsi="Tahoma" w:cs="Tahoma"/>
      <w:lang w:eastAsia="en-US"/>
    </w:rPr>
  </w:style>
  <w:style w:type="character" w:customStyle="1" w:styleId="Heading3Char">
    <w:name w:val="Heading 3 Char"/>
    <w:basedOn w:val="DefaultParagraphFont"/>
    <w:link w:val="Heading3"/>
    <w:uiPriority w:val="99"/>
    <w:locked/>
    <w:rPr>
      <w:rFonts w:ascii="Tahoma" w:hAnsi="Tahoma" w:cs="Tahoma"/>
      <w:lang w:eastAsia="en-US"/>
    </w:rPr>
  </w:style>
  <w:style w:type="character" w:customStyle="1" w:styleId="BalloonTextChar">
    <w:name w:val="Balloon Text Char"/>
    <w:basedOn w:val="DefaultParagraphFont"/>
    <w:link w:val="BalloonText"/>
    <w:uiPriority w:val="99"/>
    <w:locked/>
    <w:rPr>
      <w:rFonts w:ascii="Tahoma" w:hAnsi="Tahoma" w:cs="Tahoma"/>
      <w:sz w:val="16"/>
      <w:szCs w:val="16"/>
      <w:lang w:eastAsia="en-US"/>
    </w:rPr>
  </w:style>
  <w:style w:type="paragraph" w:customStyle="1" w:styleId="LIMPAT4WINEXTERNAL">
    <w:name w:val="LIMPA_T4WINEXTERNAL"/>
    <w:basedOn w:val="Normal"/>
    <w:link w:val="LIMPAT4WINEXTERNALChar"/>
    <w:uiPriority w:val="99"/>
    <w:pPr>
      <w:spacing w:before="0" w:after="0"/>
    </w:pPr>
    <w:rPr>
      <w:b/>
      <w:bCs/>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vertAlign w:val="superscript"/>
      <w:lang w:val="bg-BG"/>
    </w:rPr>
  </w:style>
  <w:style w:type="paragraph" w:styleId="Revision">
    <w:name w:val="Revision"/>
    <w:hidden/>
    <w:uiPriority w:val="99"/>
    <w:semiHidden/>
    <w:pPr>
      <w:spacing w:after="0" w:line="240" w:lineRule="auto"/>
    </w:pPr>
    <w:rPr>
      <w:rFonts w:ascii="Tahoma" w:hAnsi="Tahoma" w:cs="Tahoma"/>
      <w:sz w:val="20"/>
      <w:szCs w:val="20"/>
    </w:rPr>
  </w:style>
  <w:style w:type="character" w:customStyle="1" w:styleId="Body1Char1">
    <w:name w:val="Body 1 Char1"/>
    <w:basedOn w:val="DefaultParagraphFont"/>
    <w:link w:val="Body1"/>
    <w:uiPriority w:val="99"/>
    <w:locked/>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22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Dictionary xmlns="http://schemas.business-integrity.com/dealbuilder/2006/dictionary" SavedByVersion="3.6.18.0" MinimumVersion="3.6.4.0"/>
</file>

<file path=customXml/item4.xml><?xml version="1.0" encoding="utf-8"?>
<p:properties xmlns:p="http://schemas.microsoft.com/office/2006/metadata/properties" xmlns:xsi="http://www.w3.org/2001/XMLSchema-instance">
  <documentManagement/>
</p:properties>
</file>

<file path=customXml/item5.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Props1.xml><?xml version="1.0" encoding="utf-8"?>
<ds:datastoreItem xmlns:ds="http://schemas.openxmlformats.org/officeDocument/2006/customXml" ds:itemID="{17B4F1E2-F7E6-4B97-B36D-89C2CC46B2A6}">
  <ds:schemaRefs>
    <ds:schemaRef ds:uri="http://schemas.microsoft.com/sharepoint/v3/contenttype/forms"/>
  </ds:schemaRefs>
</ds:datastoreItem>
</file>

<file path=customXml/itemProps2.xml><?xml version="1.0" encoding="utf-8"?>
<ds:datastoreItem xmlns:ds="http://schemas.openxmlformats.org/officeDocument/2006/customXml" ds:itemID="{E1960516-6A0D-4953-9486-36707411B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722ACF-BBF9-4945-B011-C87E19B18CA2}">
  <ds:schemaRefs>
    <ds:schemaRef ds:uri="http://schemas.business-integrity.com/dealbuilder/2006/dictionary"/>
  </ds:schemaRefs>
</ds:datastoreItem>
</file>

<file path=customXml/itemProps4.xml><?xml version="1.0" encoding="utf-8"?>
<ds:datastoreItem xmlns:ds="http://schemas.openxmlformats.org/officeDocument/2006/customXml" ds:itemID="{F8E60F73-359E-4D68-AAD2-9993A389CD18}">
  <ds:schemaRef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2006/metadata/properties"/>
  </ds:schemaRefs>
</ds:datastoreItem>
</file>

<file path=customXml/itemProps5.xml><?xml version="1.0" encoding="utf-8"?>
<ds:datastoreItem xmlns:ds="http://schemas.openxmlformats.org/officeDocument/2006/customXml" ds:itemID="{A9465FC0-A127-4D2A-A4B0-1551EF7E4D1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2346</Words>
  <Characters>15583</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German</vt:lpstr>
    </vt:vector>
  </TitlesOfParts>
  <Company>Microsoft Corporation</Company>
  <LinksUpToDate>false</LinksUpToDate>
  <CharactersWithSpaces>17894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dc:title>
  <dc:creator>Carla Woo (LCA)</dc:creator>
  <cp:lastModifiedBy>Carla Woo</cp:lastModifiedBy>
  <cp:revision>2</cp:revision>
  <dcterms:created xsi:type="dcterms:W3CDTF">2013-02-22T20:48:00Z</dcterms:created>
  <dcterms:modified xsi:type="dcterms:W3CDTF">2013-02-22T20:48:00Z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21257</vt:lpwstr>
  </property>
  <property fmtid="{D5CDD505-2E9C-101B-9397-08002B2CF9AE}" pid="3" name="ContentTypeId">
    <vt:lpwstr>0x0101003E96A573FBD0ED4E8EC21DDA117C6FC0</vt:lpwstr>
  </property>
</Properties>
</file>